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CDC9D"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 w14:paraId="3DE37E56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36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A7D12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62FF28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 w14:paraId="7513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2124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42F3D3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Statistics</w:t>
            </w:r>
          </w:p>
        </w:tc>
      </w:tr>
      <w:tr w14:paraId="4E7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6F8BB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A5F91D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1170014</w:t>
            </w:r>
          </w:p>
        </w:tc>
        <w:tc>
          <w:tcPr>
            <w:tcW w:w="2126" w:type="dxa"/>
            <w:gridSpan w:val="2"/>
            <w:vAlign w:val="center"/>
          </w:tcPr>
          <w:p w14:paraId="11A0DD2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23C80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2C1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869DAC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5A1AAE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0EDEA5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4AA45E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709289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47F584D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88B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ED23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5F34D6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F988C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ECE734F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护理学专升本、一年级</w:t>
            </w:r>
          </w:p>
        </w:tc>
      </w:tr>
      <w:tr w14:paraId="30B1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D83F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A2FA6C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689762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FB0A1C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C1E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028C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77EFF52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医学统计学．李康．ISBN：</w:t>
            </w:r>
            <w:r>
              <w:rPr>
                <w:rFonts w:hint="eastAsia"/>
              </w:rPr>
              <w:t>9787117</w:t>
            </w:r>
            <w:r>
              <w:rPr>
                <w:rFonts w:hint="eastAsia"/>
                <w:lang w:val="en-US" w:eastAsia="zh-CN"/>
              </w:rPr>
              <w:t>363310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3" w:type="dxa"/>
            <w:gridSpan w:val="2"/>
            <w:vAlign w:val="center"/>
          </w:tcPr>
          <w:p w14:paraId="4FF98A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7D7BA3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067C1FB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7C7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64833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F075F3E"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大学信息技术 2050710（2）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高等数学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2050234</w:t>
            </w:r>
            <w:r>
              <w:rPr>
                <w:rFonts w:hint="eastAsia"/>
                <w:color w:val="000000"/>
                <w:sz w:val="20"/>
                <w:szCs w:val="20"/>
              </w:rPr>
              <w:t>（4）</w:t>
            </w:r>
          </w:p>
        </w:tc>
      </w:tr>
      <w:tr w14:paraId="55AA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A64A3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010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医学统计学》是开展医学研究的重要手段，是认识和揭示医学领域里各种数量特征的科学分析方法，是使医学科研得以成功的一种重要辅助工具。科技的迅速发展，大量信息的产生要求我们面对纷乱复杂的数据世界能够正确、科学地去认识和处理，医学统计分析是医学生教育培训必修课程，特别是中、高级医学人才的培养，应该使其懂得和掌握一些基本的医学科研设计原则或实验研究方法，能正确处理医学信息和数据，在未来的实践工作中发挥作用。医学统计是一种有力工具。它同科研的总体设计、资料采集、整理、分析直到最后做出结论都有密切关系。掌握了这个工具可以使用较少的人力、物力和时间获得比较可靠的结果。只有正确运用统计分析方法，才不致于造成不应有的缺陷或得出错误的结论。数据作为信息的主要载体广泛存在。我们就要借助统计学这个工具，在混沌中发现规律。统计学就是研究数据及其存在规律的科学。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通过课程的学习，学生可以处理医学中的数据，发现医学中的规律，为医学研究奠定基础。</w:t>
            </w:r>
          </w:p>
        </w:tc>
      </w:tr>
      <w:tr w14:paraId="2597E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6F37B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A6A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20" w:firstLineChars="20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本课程</w:t>
            </w:r>
            <w:r>
              <w:rPr>
                <w:rFonts w:hint="eastAsia"/>
                <w:color w:val="000000"/>
                <w:sz w:val="21"/>
                <w:szCs w:val="21"/>
              </w:rPr>
              <w:t>适用于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健康服务与管理、养老服务与管理、</w:t>
            </w:r>
            <w:r>
              <w:rPr>
                <w:rFonts w:hint="eastAsia"/>
                <w:color w:val="000000"/>
                <w:sz w:val="21"/>
                <w:szCs w:val="21"/>
              </w:rPr>
              <w:t>护理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学、护理学专升本</w:t>
            </w: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方向的</w:t>
            </w:r>
            <w:r>
              <w:rPr>
                <w:rFonts w:hint="eastAsia"/>
                <w:color w:val="000000"/>
                <w:sz w:val="21"/>
                <w:szCs w:val="21"/>
              </w:rPr>
              <w:t>二年级或三年级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本科生授课，要求学生具有一定的数理基础，计算机使用基础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4852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4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74F4F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E5D5397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57150</wp:posOffset>
                  </wp:positionV>
                  <wp:extent cx="920115" cy="295275"/>
                  <wp:effectExtent l="0" t="0" r="13335" b="9525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11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B78C69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CD333A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2025.2.21</w:t>
            </w:r>
          </w:p>
        </w:tc>
      </w:tr>
      <w:tr w14:paraId="60CE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EA44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97C069F"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43180</wp:posOffset>
                  </wp:positionV>
                  <wp:extent cx="830580" cy="390525"/>
                  <wp:effectExtent l="0" t="0" r="0" b="0"/>
                  <wp:wrapTight wrapText="bothSides">
                    <wp:wrapPolygon>
                      <wp:start x="0" y="0"/>
                      <wp:lineTo x="0" y="20371"/>
                      <wp:lineTo x="21303" y="20371"/>
                      <wp:lineTo x="21303" y="0"/>
                      <wp:lineTo x="0" y="0"/>
                    </wp:wrapPolygon>
                  </wp:wrapTight>
                  <wp:docPr id="5" name="图片 5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425" w:type="dxa"/>
            <w:gridSpan w:val="2"/>
            <w:vAlign w:val="center"/>
          </w:tcPr>
          <w:p w14:paraId="0DAB806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8CA761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2025.2.25</w:t>
            </w:r>
          </w:p>
        </w:tc>
      </w:tr>
      <w:tr w14:paraId="7588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D7594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DF0959F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71500" cy="355600"/>
                  <wp:effectExtent l="0" t="0" r="0" b="6350"/>
                  <wp:docPr id="3" name="图片 3" descr="a79ed76ef2dbecfda16606be9c529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79ed76ef2dbecfda16606be9c529c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032778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47E04E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2025.2.25</w:t>
            </w:r>
          </w:p>
        </w:tc>
      </w:tr>
    </w:tbl>
    <w:p w14:paraId="1585108D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5DB93A9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5904DBB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C3EF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B26901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4767C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90E9F0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F041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A88728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C26F27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749575E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掌握医学统计学中的基本概念，如总体和样本，医学参考值范围，置信区间，抽样误差等，定量和定性数据的统计描述指标及其相应的图表表达。</w:t>
            </w:r>
          </w:p>
        </w:tc>
      </w:tr>
      <w:tr w14:paraId="68947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0AA15B6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503A07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5E39A759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掌握医学统计学中常用的统计学方法（如t检验，方差分析，卡方检验，秩和检验，线性回归与相关）适用的条件，以及结果的解释。</w:t>
            </w:r>
          </w:p>
        </w:tc>
      </w:tr>
      <w:tr w14:paraId="16E38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8268A63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10B65F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77570BC3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会利用统计软件进行数据处理，包括统计指标的计算，正态分布的检验，t检验，方差分析，卡方检验，秩和检验。</w:t>
            </w:r>
          </w:p>
        </w:tc>
      </w:tr>
      <w:tr w14:paraId="62701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66F17A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8991B5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1149BECD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自主学习能力：根据课堂的内容，会自己独立思考，并能根据课程内容进行扩展和延伸。</w:t>
            </w:r>
          </w:p>
        </w:tc>
      </w:tr>
      <w:tr w14:paraId="74C14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854672A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4D609B0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58207FEF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应用技能：掌握统计分析技能，会利用统计软件进行数据分析，并解读结果。</w:t>
            </w:r>
          </w:p>
        </w:tc>
      </w:tr>
      <w:tr w14:paraId="2F026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48" w:hRule="atLeast"/>
          <w:jc w:val="center"/>
        </w:trPr>
        <w:tc>
          <w:tcPr>
            <w:tcW w:w="1235" w:type="dxa"/>
            <w:vAlign w:val="center"/>
          </w:tcPr>
          <w:p w14:paraId="4DB42D2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00D526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0DFE352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 w14:paraId="25B885A2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</w:tr>
    </w:tbl>
    <w:p w14:paraId="3AD239F2">
      <w:pPr>
        <w:pStyle w:val="18"/>
        <w:spacing w:before="163" w:beforeLines="50" w:after="163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6D0C3C3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  <w:tcBorders>
              <w:tl2br w:val="nil"/>
              <w:tr2bl w:val="nil"/>
            </w:tcBorders>
          </w:tcPr>
          <w:p w14:paraId="0115C31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highlight w:val="none"/>
              </w:rPr>
              <w:t>LO1品德修养：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421350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6E061B1C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296" w:type="dxa"/>
          </w:tcPr>
          <w:p w14:paraId="4E3CF775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LO2专业能力：</w:t>
            </w:r>
            <w:r>
              <w:rPr>
                <w:rFonts w:hint="eastAsia"/>
                <w:bCs/>
                <w:sz w:val="21"/>
                <w:szCs w:val="21"/>
              </w:rPr>
              <w:t>具有人文科学素养，具备从事护理工作或专业的理论知识、实践能力。</w:t>
            </w:r>
          </w:p>
          <w:p w14:paraId="050B73B3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</w:rPr>
              <w:t xml:space="preserve">②专业基础能力：掌握人体正常结构、功能、人的心理状态及其发展变化的知识；掌握基本的药理知识和临床用药及药品管理知识；掌握护理学基础理论和基本知识。 </w:t>
            </w:r>
          </w:p>
        </w:tc>
      </w:tr>
      <w:tr w14:paraId="68F31AA1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96" w:type="dxa"/>
          </w:tcPr>
          <w:p w14:paraId="5E9B33D9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LO4自主学习：</w:t>
            </w:r>
            <w:r>
              <w:rPr>
                <w:rFonts w:hint="eastAsia"/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 w14:paraId="4E1DAE83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 w14:paraId="5ADD3907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296" w:type="dxa"/>
          </w:tcPr>
          <w:p w14:paraId="5179433F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LO7信息应用：</w:t>
            </w:r>
            <w:r>
              <w:rPr>
                <w:rFonts w:hint="eastAsia"/>
                <w:bCs/>
                <w:sz w:val="21"/>
                <w:szCs w:val="21"/>
              </w:rPr>
              <w:t>具备一定的信息素养，并能在工作中应用信息技术和工具解决问题。</w:t>
            </w:r>
          </w:p>
          <w:p w14:paraId="193A1F26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②能够使用适合的工具来搜集信息，并对信息加以分析、鉴别、判断与整合。</w:t>
            </w:r>
          </w:p>
        </w:tc>
      </w:tr>
    </w:tbl>
    <w:p w14:paraId="3923F006">
      <w:pPr>
        <w:pStyle w:val="18"/>
        <w:spacing w:before="163" w:beforeLines="50" w:after="163"/>
        <w:rPr>
          <w:rFonts w:hint="eastAsia"/>
        </w:rPr>
      </w:pPr>
    </w:p>
    <w:p w14:paraId="5089323D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9A1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DD94B2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77FFFF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FDFDFF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A8567A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208B24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C24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F94455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217A51">
            <w:pPr>
              <w:pStyle w:val="15"/>
              <w:rPr>
                <w:rFonts w:hint="default" w:eastAsia="宋体" w:cs="Times New Roman" w:asciiTheme="majorAscii" w:hAnsiTheme="majorAscii"/>
                <w:bCs/>
                <w:lang w:val="en-US" w:eastAsia="zh-CN"/>
              </w:rPr>
            </w:pPr>
            <w:r>
              <w:rPr>
                <w:rFonts w:hint="default" w:asciiTheme="majorAscii" w:hAnsiTheme="majorAscii"/>
                <w:bCs/>
                <w:sz w:val="21"/>
                <w:szCs w:val="21"/>
                <w:highlight w:val="none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24FE3BD">
            <w:pPr>
              <w:pStyle w:val="15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763" w:type="dxa"/>
            <w:vAlign w:val="center"/>
          </w:tcPr>
          <w:p w14:paraId="33EA2DFD">
            <w:pPr>
              <w:pStyle w:val="15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严谨的科学态度：数据收集、分析、解读过程中能做到实事求是，不弄虚作假，有着严谨的科学态度。团队意识和社会责任感：医学统计是一门工具性学科，在处理医学问题中需要互相协助，有团队意识，与他人沟通，承担自己的责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06C484E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02F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EF81A66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6DD3E52"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C589C43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7999A03E">
            <w:pPr>
              <w:pStyle w:val="15"/>
              <w:jc w:val="both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1.掌握医学统计学中的基本概念(如总体和样本，医学参考值范围，置信区间，抽样误差等)，定量和定性数据的统计描述指标及其相应的图表表达。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E95F684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1C8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2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64DD8C"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71DD512"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DE70E06"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210F0D4E">
            <w:pPr>
              <w:pStyle w:val="15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2.掌握医学统计学中常用的统计学方法（如t检验，方差分析，卡方检验，秩和检验，线性回归与相关）适用的条件，以及结果的解释。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4D4F270">
            <w:pPr>
              <w:pStyle w:val="15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E7E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4ADF11E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9CDC9FF">
            <w:pPr>
              <w:pStyle w:val="15"/>
              <w:rPr>
                <w:rFonts w:hint="default" w:asciiTheme="majorAscii" w:hAnsiTheme="majorAscii"/>
                <w:bCs/>
                <w:sz w:val="21"/>
                <w:szCs w:val="21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7D5952"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FBAE751">
            <w:pPr>
              <w:pStyle w:val="1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4.自主学习能力：根据课堂的内容，会自己独立思考，并能根据课程内容进行扩展和延伸。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B52362E"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70D6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D07829"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84A065B">
            <w:pPr>
              <w:pStyle w:val="15"/>
              <w:rPr>
                <w:rFonts w:hint="default" w:cs="Times New Roman" w:asciiTheme="majorAscii" w:hAnsiTheme="majorAscii"/>
                <w:bCs/>
                <w:lang w:val="en-US" w:eastAsia="zh-CN"/>
              </w:rPr>
            </w:pPr>
            <w:r>
              <w:rPr>
                <w:rFonts w:hint="default" w:eastAsia="宋体" w:cs="Calibri" w:asciiTheme="majorAscii" w:hAnsiTheme="majorAscii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37DDD91">
            <w:pPr>
              <w:pStyle w:val="15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04E16176"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5.应用技能：掌握统计分析技能，会利用统计软件进行数据分析，并解读结果。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5A986A7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6A2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7F10B5F9">
            <w:pPr>
              <w:pStyle w:val="15"/>
              <w:rPr>
                <w:rFonts w:hint="default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1EB6E89">
            <w:pPr>
              <w:pStyle w:val="15"/>
              <w:rPr>
                <w:rFonts w:hint="default" w:eastAsia="宋体" w:cs="Calibri" w:asciiTheme="majorAscii" w:hAnsiTheme="majorAscii"/>
                <w:bCs/>
                <w:lang w:val="en-US" w:eastAsia="zh-CN"/>
              </w:rPr>
            </w:pP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01016D">
            <w:pPr>
              <w:pStyle w:val="15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19C2CAB2">
            <w:pPr>
              <w:pStyle w:val="1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3.会利用统计软件进行数据处理，包括统计指标的计算，正态分布的检验，t检验，方差分析，卡方检验，秩和检验。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438550"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2E451E7C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E6966BB">
      <w:pPr>
        <w:pStyle w:val="18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F155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575301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第一单元：绪论</w:t>
            </w:r>
          </w:p>
          <w:p w14:paraId="300B332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预期成果：能够掌握常用的统计学基本概念和数据分型。</w:t>
            </w:r>
          </w:p>
          <w:p w14:paraId="4C98F1D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核心知识点：理解统计学相关的基本概念，如总体，样本，变异和同质；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不同数据的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类型和统计中的三种误差。</w:t>
            </w:r>
          </w:p>
          <w:p w14:paraId="60A568CF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能力要求：理解常用的统计学基本概念，会判断不同数据的数据类型，会对误差类别进行判断。</w:t>
            </w:r>
          </w:p>
          <w:p w14:paraId="79C8EA10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难点：数据的类型。</w:t>
            </w:r>
          </w:p>
          <w:p w14:paraId="4E5AF9C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6E38CA70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第二单元：定量数据的统计描述</w:t>
            </w:r>
          </w:p>
          <w:p w14:paraId="252CA159">
            <w:pPr>
              <w:pStyle w:val="15"/>
              <w:widowControl w:val="0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能够描述计量资料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和定性资料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集中趋势和离散趋势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统计指标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。</w:t>
            </w:r>
          </w:p>
          <w:p w14:paraId="6B85B87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核心知识点：运用公式计算定量数据的集中趋势（均数，中位数）和离散趋势的统计指标（标准差，方差，四分位间距）；理解变异系数；知道几何均数，极差等。</w:t>
            </w:r>
          </w:p>
          <w:p w14:paraId="5694E596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能力要求：能够根据数据特点</w:t>
            </w: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计算</w:t>
            </w:r>
            <w:r>
              <w:rPr>
                <w:rFonts w:hint="eastAsia" w:ascii="宋体" w:hAnsi="宋体"/>
                <w:bCs/>
                <w:lang w:val="en-US" w:eastAsia="zh-CN"/>
              </w:rPr>
              <w:t>相应的集中趋势和离散趋势统计指标。</w:t>
            </w:r>
          </w:p>
          <w:p w14:paraId="0EBDEBCD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难点：判断不同数据类型应该使用的统计指标。</w:t>
            </w:r>
          </w:p>
          <w:p w14:paraId="38F237A5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3467AEF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第三单元：正态分布与医学参考值范围</w:t>
            </w:r>
          </w:p>
          <w:p w14:paraId="19238A33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预期成果：根据正态分布及其特性，会计算人群医学参考值范围。</w:t>
            </w:r>
          </w:p>
          <w:p w14:paraId="28EF41D5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核心知识点：理解正态分布曲线位置参数和形状参数性质及其曲线下面积的意义；会运用公式计算人群医学参考范围；理解医学参考值范围的意义。</w:t>
            </w:r>
          </w:p>
          <w:p w14:paraId="7B2E63F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能力要求：计算医学参考值范围。</w:t>
            </w:r>
          </w:p>
          <w:p w14:paraId="182A4FF6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难点：正态分布曲线下的面积，医学参考值的计算。</w:t>
            </w:r>
          </w:p>
          <w:p w14:paraId="0D06DCEF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01F23301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第四单元：定性数据的统计描述</w:t>
            </w:r>
          </w:p>
          <w:p w14:paraId="2DDEBC8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预期成果：了解医学中常用的定性资料的医学指标。</w:t>
            </w:r>
          </w:p>
          <w:p w14:paraId="7D688E65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核心知识点：理解构成比和率的概念；知道标准化率应用的条件；知道患病率，发病率，病死率，的定义及其含义；理解相对数中的相对危险度和比值比。</w:t>
            </w:r>
          </w:p>
          <w:p w14:paraId="50916A7A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能力要求：区分构成比和率，计算各种医学中相对数指标。</w:t>
            </w:r>
          </w:p>
          <w:p w14:paraId="70B9C31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难点：标化率、相对危险度、比值比的计算。</w:t>
            </w:r>
          </w:p>
          <w:p w14:paraId="4477FCCE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188FE946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第五单元：统计表与统计图</w:t>
            </w:r>
          </w:p>
          <w:p w14:paraId="1FBD102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预期成果：可以选择合适的图形表达相应的数据。</w:t>
            </w:r>
          </w:p>
          <w:p w14:paraId="180C4A7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核心知识点：理解统计表和统计图的编制原则；知道直方图，线图，箱式图，误差条图，散点图，条图的特点和对应的数据形式。</w:t>
            </w:r>
          </w:p>
          <w:p w14:paraId="10BCC469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能力要求：初步具备用图表来表达数据的能力。</w:t>
            </w:r>
          </w:p>
          <w:p w14:paraId="5251D335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难点：根据数据特点选择合适的统计图表。</w:t>
            </w:r>
          </w:p>
          <w:p w14:paraId="75527ABB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1FFFC60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第六单元：参数估计与假设检验</w:t>
            </w:r>
          </w:p>
          <w:p w14:paraId="22EF341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预期成果：参数区间估计和假设检验的用途。</w:t>
            </w:r>
          </w:p>
          <w:p w14:paraId="6176743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核心知识点：理解抽样误差的概念，会运用公式计算参数的可信区间，知道假设检验的基本原理。</w:t>
            </w:r>
          </w:p>
          <w:p w14:paraId="708EDA4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能力要求：具备理解假设检验原理的能力。</w:t>
            </w:r>
          </w:p>
          <w:p w14:paraId="0E9CF77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难点：参数估计原理</w:t>
            </w:r>
          </w:p>
          <w:p w14:paraId="2BADA493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1756CC9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第七单元：t检验</w:t>
            </w:r>
          </w:p>
          <w:p w14:paraId="2EF50F30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预期成果：会利用t检验分析定量数据两样本比较的研究设计。</w:t>
            </w:r>
          </w:p>
          <w:p w14:paraId="2BB54567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核心知识点：理解t检验的原理及适用的研究设计类型；会运用SPSS软件进行单样本t检验，两独立样本t检验，配对样本t检验，正态性检验。</w:t>
            </w:r>
          </w:p>
          <w:p w14:paraId="766FFFD8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能力要求：利用SPSS软件进行t检验。</w:t>
            </w:r>
          </w:p>
          <w:p w14:paraId="082595A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难点：判断研究类型</w:t>
            </w:r>
          </w:p>
          <w:p w14:paraId="0CF7587E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1CEFBC96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第八单元：方差分析</w:t>
            </w:r>
          </w:p>
          <w:p w14:paraId="1AF7BB4C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预期成果：会利用方差分析分析定量数据三组及以上样本比较的研究设计。</w:t>
            </w:r>
          </w:p>
          <w:p w14:paraId="13D2BC4C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核心知识点：理解方差分析的原理及适用的研究设计类型；会运用SPSS软件进行完全随机设计的方差分析，随机区组设计的方差分析。</w:t>
            </w:r>
          </w:p>
          <w:p w14:paraId="6F3C702A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能力要求：利用SPSS软件进行方差分析。</w:t>
            </w:r>
          </w:p>
          <w:p w14:paraId="6455517E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难点：方差分析的原理</w:t>
            </w:r>
          </w:p>
          <w:p w14:paraId="0A16491D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16D7F01F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第九单元：卡方检验</w:t>
            </w:r>
          </w:p>
          <w:p w14:paraId="634D3BE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预期成果：会利用卡方检验分析定性数据的研究设计。</w:t>
            </w:r>
          </w:p>
          <w:p w14:paraId="0CDAA65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核心知识点：理解卡方检验的原理及适用的研究设计类型；会运用SPSS软件进行四格表资料的卡方检验、配对四格表资料的卡方检验，R×C列联表资料的卡方检验。</w:t>
            </w:r>
          </w:p>
          <w:p w14:paraId="7E2D398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能力要求：利用SPSS软件进行卡方检验</w:t>
            </w:r>
          </w:p>
          <w:p w14:paraId="12D97D4D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难点：卡方检验的原理</w:t>
            </w:r>
          </w:p>
          <w:p w14:paraId="174169A8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4E1BB266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第十单元：线性回归与相关</w:t>
            </w:r>
          </w:p>
          <w:p w14:paraId="309EDD43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预期成果：会利用线性回归分析相关数据。</w:t>
            </w:r>
          </w:p>
          <w:p w14:paraId="2A4E85C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核心知识点：理解线性回归和相关的基本原理；会运用SPSS软件线性回归和相关；知道线性回归与相关的注意事项。</w:t>
            </w:r>
          </w:p>
          <w:p w14:paraId="003913A2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能力要求：利用SPSS软件进行线性回归和相关分析</w:t>
            </w:r>
          </w:p>
          <w:p w14:paraId="11D4E847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难点：线性回归和相关的基本原理</w:t>
            </w:r>
          </w:p>
          <w:p w14:paraId="3635E599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54B9DAF1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第十一单元：非参数秩和检验</w:t>
            </w:r>
          </w:p>
          <w:p w14:paraId="2FA0EB54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预期成果：会利用非参数秩和检验分析符合特点的数据</w:t>
            </w:r>
          </w:p>
          <w:p w14:paraId="15D4F8F6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核心知识点：理解秩和检验的原理及非参数检验适用的数据类型；会运用SPSS软件进行配对设计资料的符号秩和检验，两独立样本比较的秩和检验，多个独立样本比较的秩和检验。</w:t>
            </w:r>
          </w:p>
          <w:p w14:paraId="13E5EA40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能力要求：利用SPSS软件进行秩和检验</w:t>
            </w:r>
          </w:p>
          <w:p w14:paraId="44B5DC01">
            <w:pPr>
              <w:pStyle w:val="15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难点：秩和检验的原理</w:t>
            </w:r>
          </w:p>
          <w:p w14:paraId="30CA83E6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</w:p>
          <w:p w14:paraId="2A620D9F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0635D256">
      <w:pPr>
        <w:pStyle w:val="18"/>
        <w:spacing w:before="81" w:after="163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（二）教学单元对课程目标的支撑关系</w:t>
      </w:r>
      <w:r>
        <w:rPr>
          <w:rFonts w:hint="eastAsia"/>
          <w:highlight w:val="none"/>
          <w:lang w:val="en-US" w:eastAsia="zh-CN"/>
        </w:rPr>
        <w:t xml:space="preserve"> 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171"/>
        <w:gridCol w:w="835"/>
        <w:gridCol w:w="769"/>
        <w:gridCol w:w="875"/>
        <w:gridCol w:w="850"/>
        <w:gridCol w:w="758"/>
        <w:gridCol w:w="1158"/>
      </w:tblGrid>
      <w:tr w14:paraId="330E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1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FD1FD31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BD10A92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3D5A460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35" w:type="dxa"/>
            <w:tcBorders>
              <w:top w:val="single" w:color="auto" w:sz="12" w:space="0"/>
            </w:tcBorders>
            <w:vAlign w:val="center"/>
          </w:tcPr>
          <w:p w14:paraId="06FAD1FD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目标1</w:t>
            </w:r>
          </w:p>
        </w:tc>
        <w:tc>
          <w:tcPr>
            <w:tcW w:w="769" w:type="dxa"/>
            <w:tcBorders>
              <w:top w:val="single" w:color="auto" w:sz="12" w:space="0"/>
            </w:tcBorders>
            <w:vAlign w:val="center"/>
          </w:tcPr>
          <w:p w14:paraId="443B82EE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目标2</w:t>
            </w:r>
          </w:p>
        </w:tc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 w14:paraId="71AF54C0">
            <w:pPr>
              <w:pStyle w:val="14"/>
              <w:rPr>
                <w:rFonts w:hint="eastAsia" w:ascii="Arial" w:hAnsi="Arial" w:eastAsia="黑体" w:cs="宋体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eastAsia"/>
                <w:szCs w:val="16"/>
                <w:lang w:val="en-US" w:eastAsia="zh-CN"/>
              </w:rPr>
              <w:t>目标3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 w14:paraId="4E998334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目标4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0964AE13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目标5</w:t>
            </w:r>
          </w:p>
        </w:tc>
        <w:tc>
          <w:tcPr>
            <w:tcW w:w="11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E07974"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目标6</w:t>
            </w:r>
          </w:p>
        </w:tc>
      </w:tr>
      <w:tr w14:paraId="5A8F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B9A33C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835" w:type="dxa"/>
            <w:vAlign w:val="center"/>
          </w:tcPr>
          <w:p w14:paraId="44D8814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8EA8C74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572220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5841973F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24201D0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6C9C9C3A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8BF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AEDD4EC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835" w:type="dxa"/>
            <w:vAlign w:val="center"/>
          </w:tcPr>
          <w:p w14:paraId="62C97266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1F26D6C2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3BA78A6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113A91E7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AE56605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1C73155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21A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138F6CE5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835" w:type="dxa"/>
            <w:vAlign w:val="center"/>
          </w:tcPr>
          <w:p w14:paraId="51F55F35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7867615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4988DF5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7145D860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576F09A9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EBF9D9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4AE1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60859BCB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835" w:type="dxa"/>
            <w:vAlign w:val="center"/>
          </w:tcPr>
          <w:p w14:paraId="15E02B27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222598C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6A48F76B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540E8B69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0A38EA9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3B4BEE1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08D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7A1CEBA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835" w:type="dxa"/>
            <w:vAlign w:val="center"/>
          </w:tcPr>
          <w:p w14:paraId="23FDD6C9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0C263A5D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74C8F46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6E2CCE0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0DA09BBB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6DD0066B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55E0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36055EA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835" w:type="dxa"/>
            <w:vAlign w:val="center"/>
          </w:tcPr>
          <w:p w14:paraId="69454CC7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69" w:type="dxa"/>
            <w:vAlign w:val="center"/>
          </w:tcPr>
          <w:p w14:paraId="06D65527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vAlign w:val="center"/>
          </w:tcPr>
          <w:p w14:paraId="05DF375A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 w14:paraId="3D374BE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27D0D2EC">
            <w:pPr>
              <w:pStyle w:val="15"/>
            </w:pP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6A936126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FD8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9C8649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835" w:type="dxa"/>
            <w:vAlign w:val="center"/>
          </w:tcPr>
          <w:p w14:paraId="573595B7">
            <w:pPr>
              <w:pStyle w:val="15"/>
            </w:pPr>
          </w:p>
        </w:tc>
        <w:tc>
          <w:tcPr>
            <w:tcW w:w="769" w:type="dxa"/>
            <w:vAlign w:val="center"/>
          </w:tcPr>
          <w:p w14:paraId="62F51AAC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720D5758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0DFA6821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054FD20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03EFD5FC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2DCB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0EDC3ED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835" w:type="dxa"/>
            <w:vAlign w:val="center"/>
          </w:tcPr>
          <w:p w14:paraId="6BEF4EC5">
            <w:pPr>
              <w:pStyle w:val="15"/>
            </w:pPr>
          </w:p>
        </w:tc>
        <w:tc>
          <w:tcPr>
            <w:tcW w:w="769" w:type="dxa"/>
            <w:vAlign w:val="center"/>
          </w:tcPr>
          <w:p w14:paraId="794F9BD9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450DD900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48436754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379FFC1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1B77ABB7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B75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508AC71D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835" w:type="dxa"/>
            <w:vAlign w:val="center"/>
          </w:tcPr>
          <w:p w14:paraId="1F7D9E17">
            <w:pPr>
              <w:pStyle w:val="15"/>
            </w:pPr>
          </w:p>
        </w:tc>
        <w:tc>
          <w:tcPr>
            <w:tcW w:w="769" w:type="dxa"/>
            <w:vAlign w:val="center"/>
          </w:tcPr>
          <w:p w14:paraId="55111D65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30C1651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745A7686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77632E64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19FEC17A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3C4F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</w:tcBorders>
            <w:vAlign w:val="top"/>
          </w:tcPr>
          <w:p w14:paraId="2C2E83FA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第十单元：线性回归与相关</w:t>
            </w:r>
          </w:p>
        </w:tc>
        <w:tc>
          <w:tcPr>
            <w:tcW w:w="835" w:type="dxa"/>
            <w:vAlign w:val="center"/>
          </w:tcPr>
          <w:p w14:paraId="564B4142">
            <w:pPr>
              <w:pStyle w:val="15"/>
            </w:pPr>
          </w:p>
        </w:tc>
        <w:tc>
          <w:tcPr>
            <w:tcW w:w="769" w:type="dxa"/>
            <w:vAlign w:val="center"/>
          </w:tcPr>
          <w:p w14:paraId="4FDF8B4F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vAlign w:val="center"/>
          </w:tcPr>
          <w:p w14:paraId="6F21CD26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50" w:type="dxa"/>
            <w:vAlign w:val="center"/>
          </w:tcPr>
          <w:p w14:paraId="1446211A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vAlign w:val="center"/>
          </w:tcPr>
          <w:p w14:paraId="56FA174D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58" w:type="dxa"/>
            <w:tcBorders>
              <w:right w:val="single" w:color="auto" w:sz="12" w:space="0"/>
            </w:tcBorders>
            <w:vAlign w:val="center"/>
          </w:tcPr>
          <w:p w14:paraId="62906F21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15A3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71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1CE99D1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第十一单元：非参数秩和检验</w:t>
            </w: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 w14:paraId="3AC4A0D7">
            <w:pPr>
              <w:pStyle w:val="15"/>
            </w:pPr>
          </w:p>
        </w:tc>
        <w:tc>
          <w:tcPr>
            <w:tcW w:w="769" w:type="dxa"/>
            <w:tcBorders>
              <w:bottom w:val="single" w:color="auto" w:sz="12" w:space="0"/>
            </w:tcBorders>
            <w:vAlign w:val="center"/>
          </w:tcPr>
          <w:p w14:paraId="14EAE44B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 w14:paraId="529FDEE7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 w14:paraId="7A5BF956">
            <w:pPr>
              <w:pStyle w:val="15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58" w:type="dxa"/>
            <w:tcBorders>
              <w:bottom w:val="single" w:color="auto" w:sz="12" w:space="0"/>
            </w:tcBorders>
            <w:vAlign w:val="center"/>
          </w:tcPr>
          <w:p w14:paraId="26EC19EA">
            <w:pPr>
              <w:pStyle w:val="15"/>
            </w:pPr>
          </w:p>
        </w:tc>
        <w:tc>
          <w:tcPr>
            <w:tcW w:w="11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777C7A">
            <w:pPr>
              <w:pStyle w:val="15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5ACB3627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44"/>
        <w:gridCol w:w="1733"/>
        <w:gridCol w:w="1588"/>
        <w:gridCol w:w="725"/>
        <w:gridCol w:w="669"/>
        <w:gridCol w:w="717"/>
      </w:tblGrid>
      <w:tr w14:paraId="2F0B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8C032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733" w:type="dxa"/>
            <w:vMerge w:val="restart"/>
            <w:tcBorders>
              <w:top w:val="single" w:color="auto" w:sz="12" w:space="0"/>
            </w:tcBorders>
            <w:vAlign w:val="center"/>
          </w:tcPr>
          <w:p w14:paraId="3261DBD4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588" w:type="dxa"/>
            <w:vMerge w:val="restart"/>
            <w:tcBorders>
              <w:top w:val="single" w:color="auto" w:sz="12" w:space="0"/>
            </w:tcBorders>
            <w:vAlign w:val="center"/>
          </w:tcPr>
          <w:p w14:paraId="6DA1F95A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40F46B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2860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044" w:type="dxa"/>
            <w:vMerge w:val="continue"/>
            <w:tcBorders>
              <w:left w:val="single" w:color="auto" w:sz="12" w:space="0"/>
            </w:tcBorders>
          </w:tcPr>
          <w:p w14:paraId="7A2E4E8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3" w:type="dxa"/>
            <w:vMerge w:val="continue"/>
          </w:tcPr>
          <w:p w14:paraId="04B09D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588" w:type="dxa"/>
            <w:vMerge w:val="continue"/>
          </w:tcPr>
          <w:p w14:paraId="6D22D7D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52A8BD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8F722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CAE04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EDF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D58BC14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第一单元：绪论</w:t>
            </w:r>
          </w:p>
        </w:tc>
        <w:tc>
          <w:tcPr>
            <w:tcW w:w="1733" w:type="dxa"/>
            <w:vAlign w:val="center"/>
          </w:tcPr>
          <w:p w14:paraId="747020EC">
            <w:pPr>
              <w:widowControl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0B6B9B7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7A65415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932690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863261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001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4222601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第二单元：定量数据的统计描述</w:t>
            </w:r>
          </w:p>
        </w:tc>
        <w:tc>
          <w:tcPr>
            <w:tcW w:w="1733" w:type="dxa"/>
            <w:vAlign w:val="center"/>
          </w:tcPr>
          <w:p w14:paraId="23FB767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3730BFB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2E9421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340E86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68C2CB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4E8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630F706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第三单元：正态分布与医学参考值范围</w:t>
            </w:r>
          </w:p>
        </w:tc>
        <w:tc>
          <w:tcPr>
            <w:tcW w:w="1733" w:type="dxa"/>
            <w:vAlign w:val="center"/>
          </w:tcPr>
          <w:p w14:paraId="0950D8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7FF140A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00310F8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8C5305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0E86A2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2CD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7A51D7CC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第四单元：定性数据的统计描述</w:t>
            </w:r>
          </w:p>
        </w:tc>
        <w:tc>
          <w:tcPr>
            <w:tcW w:w="1733" w:type="dxa"/>
            <w:vAlign w:val="center"/>
          </w:tcPr>
          <w:p w14:paraId="00123D2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3424766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47D3ECB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57EE788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A1EE5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B82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5D69DD18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第五单元：统计表与统计图</w:t>
            </w:r>
          </w:p>
        </w:tc>
        <w:tc>
          <w:tcPr>
            <w:tcW w:w="1733" w:type="dxa"/>
            <w:vAlign w:val="center"/>
          </w:tcPr>
          <w:p w14:paraId="26E447E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695DDB98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5963677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62BB20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EA57D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120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09990D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第六单元：参数估计与假设检验</w:t>
            </w:r>
          </w:p>
        </w:tc>
        <w:tc>
          <w:tcPr>
            <w:tcW w:w="1733" w:type="dxa"/>
            <w:vAlign w:val="center"/>
          </w:tcPr>
          <w:p w14:paraId="553DC6E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26888E3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分析报告+提问</w:t>
            </w:r>
          </w:p>
        </w:tc>
        <w:tc>
          <w:tcPr>
            <w:tcW w:w="725" w:type="dxa"/>
            <w:vAlign w:val="center"/>
          </w:tcPr>
          <w:p w14:paraId="0E3268C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FE8B2A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4ECE7D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1E5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26C20B26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第七单元：t检验</w:t>
            </w:r>
          </w:p>
        </w:tc>
        <w:tc>
          <w:tcPr>
            <w:tcW w:w="1733" w:type="dxa"/>
            <w:vAlign w:val="center"/>
          </w:tcPr>
          <w:p w14:paraId="2B2A9E58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08481CA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056E1BBA">
            <w:pPr>
              <w:widowControl w:val="0"/>
              <w:snapToGrid w:val="0"/>
              <w:jc w:val="both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 w14:paraId="5726EA7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953AF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78EB4A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8328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4999273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第八单元：方差分析</w:t>
            </w:r>
          </w:p>
        </w:tc>
        <w:tc>
          <w:tcPr>
            <w:tcW w:w="1733" w:type="dxa"/>
            <w:vAlign w:val="center"/>
          </w:tcPr>
          <w:p w14:paraId="2A90292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6B22636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42B5580E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 w14:paraId="298C169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01080D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E8A6F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910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355F7AD1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第九单元：卡方检验</w:t>
            </w:r>
          </w:p>
        </w:tc>
        <w:tc>
          <w:tcPr>
            <w:tcW w:w="1733" w:type="dxa"/>
            <w:vAlign w:val="center"/>
          </w:tcPr>
          <w:p w14:paraId="5754D0A1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02AE213F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2D927057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 w14:paraId="2EF2B09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B61110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6CE59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4C5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27066A98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第十单元：线性回归与相关</w:t>
            </w:r>
          </w:p>
        </w:tc>
        <w:tc>
          <w:tcPr>
            <w:tcW w:w="1733" w:type="dxa"/>
            <w:vAlign w:val="center"/>
          </w:tcPr>
          <w:p w14:paraId="4025E7F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</w:t>
            </w:r>
          </w:p>
          <w:p w14:paraId="408EC9B1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操作</w:t>
            </w:r>
          </w:p>
        </w:tc>
        <w:tc>
          <w:tcPr>
            <w:tcW w:w="1588" w:type="dxa"/>
            <w:vAlign w:val="center"/>
          </w:tcPr>
          <w:p w14:paraId="0093E336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分析报告+实训报告+作业</w:t>
            </w:r>
          </w:p>
        </w:tc>
        <w:tc>
          <w:tcPr>
            <w:tcW w:w="725" w:type="dxa"/>
            <w:vAlign w:val="center"/>
          </w:tcPr>
          <w:p w14:paraId="6699D3E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002F86C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8170B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8FF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2FA81E40">
            <w:pPr>
              <w:pStyle w:val="15"/>
              <w:widowControl w:val="0"/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第十一单元：非参数秩和检验</w:t>
            </w:r>
          </w:p>
        </w:tc>
        <w:tc>
          <w:tcPr>
            <w:tcW w:w="1733" w:type="dxa"/>
            <w:vAlign w:val="center"/>
          </w:tcPr>
          <w:p w14:paraId="0B24F97A">
            <w:pPr>
              <w:widowControl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讲述+练习+示范操作</w:t>
            </w:r>
          </w:p>
        </w:tc>
        <w:tc>
          <w:tcPr>
            <w:tcW w:w="1588" w:type="dxa"/>
            <w:vAlign w:val="center"/>
          </w:tcPr>
          <w:p w14:paraId="6B4C0FC9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作业+提问</w:t>
            </w:r>
          </w:p>
        </w:tc>
        <w:tc>
          <w:tcPr>
            <w:tcW w:w="725" w:type="dxa"/>
            <w:vAlign w:val="center"/>
          </w:tcPr>
          <w:p w14:paraId="438F0EB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6C930AA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C2E97D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4E9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3044" w:type="dxa"/>
            <w:tcBorders>
              <w:left w:val="single" w:color="auto" w:sz="12" w:space="0"/>
            </w:tcBorders>
            <w:vAlign w:val="top"/>
          </w:tcPr>
          <w:p w14:paraId="0A0A4D98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  <w:t>第十单元：案例分析</w:t>
            </w:r>
          </w:p>
        </w:tc>
        <w:tc>
          <w:tcPr>
            <w:tcW w:w="1733" w:type="dxa"/>
            <w:vAlign w:val="center"/>
          </w:tcPr>
          <w:p w14:paraId="2DFF7E6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讲述+练习</w:t>
            </w:r>
          </w:p>
        </w:tc>
        <w:tc>
          <w:tcPr>
            <w:tcW w:w="1588" w:type="dxa"/>
            <w:vAlign w:val="center"/>
          </w:tcPr>
          <w:p w14:paraId="5ABEA88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分析报告</w:t>
            </w:r>
          </w:p>
        </w:tc>
        <w:tc>
          <w:tcPr>
            <w:tcW w:w="725" w:type="dxa"/>
            <w:vAlign w:val="center"/>
          </w:tcPr>
          <w:p w14:paraId="7544325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858203E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799DA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2</w:t>
            </w:r>
          </w:p>
        </w:tc>
      </w:tr>
      <w:tr w14:paraId="77DB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25C49F4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1807CE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29458AC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DF6BF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581E127B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69C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6A5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65A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FCBB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E56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E9779C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0CA97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DE0D5C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5BE3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93C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B1F4E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t检验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CA0C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会利用SPSS软件进行t检验，主要内容包括：两独立样本t检验，配对样本t检验，t</w:t>
            </w:r>
            <w:r>
              <w:rPr>
                <w:rFonts w:hint="eastAsia"/>
                <w:sz w:val="24"/>
                <w:szCs w:val="24"/>
                <w:vertAlign w:val="superscript"/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>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8E04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2B294B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7032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88AB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A1557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方差分析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F69E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会利用SPSS软件进行方差分析，主要内容包括：完全随机设计的方差分析，随机区组设计的方差分析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5A80C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142F769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7357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03D0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D3FAB6">
            <w:pPr>
              <w:pStyle w:val="15"/>
              <w:widowControl w:val="0"/>
              <w:jc w:val="left"/>
              <w:rPr>
                <w:rFonts w:hint="default" w:ascii="Times New Roman" w:hAnsi="Times New Roman" w:eastAsia="宋体" w:cs="宋体"/>
                <w:b w:val="0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卡方检验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5989">
            <w:pPr>
              <w:pStyle w:val="15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会利用SPSS软件进行卡方检验，主要内容包括：可个表资料的卡方检验，配对四格表资料的卡方检验，R×C列联表的卡方检验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D7C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5C4B77F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705A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6764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D3F7EB">
            <w:pPr>
              <w:pStyle w:val="15"/>
              <w:widowControl w:val="0"/>
              <w:jc w:val="left"/>
              <w:rPr>
                <w:rFonts w:hint="eastAsia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线性回归</w:t>
            </w:r>
          </w:p>
          <w:p w14:paraId="68A5209F">
            <w:pPr>
              <w:pStyle w:val="15"/>
              <w:widowControl w:val="0"/>
              <w:jc w:val="left"/>
              <w:rPr>
                <w:rFonts w:hint="default" w:ascii="宋体" w:hAnsi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lang w:val="en-US" w:eastAsia="zh-CN"/>
              </w:rPr>
              <w:t>秩和检验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976C4">
            <w:pPr>
              <w:pStyle w:val="15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会利用SPSS软件进行线性回归及多元线性回归及其检验，主要内容包括：一元线性回归及检验，多元线性回归及检验。</w:t>
            </w:r>
          </w:p>
          <w:p w14:paraId="63325301">
            <w:pPr>
              <w:pStyle w:val="15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利用SPSS软件进行符号秩和检验。主要内容包含：符号秩和和两独立样本秩和检验。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08E35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5D72F70">
            <w:pPr>
              <w:pStyle w:val="15"/>
              <w:rPr>
                <w:rFonts w:hint="default" w:asciiTheme="minorAscii" w:hAnsiTheme="minorAscii"/>
              </w:rPr>
            </w:pPr>
            <w:r>
              <w:rPr>
                <w:rFonts w:hint="default" w:eastAsia="微软雅黑" w:cs="微软雅黑" w:asciiTheme="minorAscii" w:hAnsiTheme="minorAscii"/>
              </w:rPr>
              <w:t>④</w:t>
            </w:r>
          </w:p>
        </w:tc>
      </w:tr>
      <w:tr w14:paraId="3311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61049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BFF19B6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E5F3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08F6F3E2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《医学统计学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是一门医学工具类学科，旨在通过数据的收集，整理，分析，总结中发现医学相关的规律，因此学生在学习的过程中始终要保持着严谨的科学态度。在处理数据的每个环节都需要严谨的科学态度。同时数理统计的学习过程中需要与医学工作者有团队合作，在合作过程中，需要学生有团队合作精神，本着学以致用，服务社会的心态，在团队中做好自己的本职工作。</w:t>
            </w:r>
          </w:p>
          <w:p w14:paraId="568736DD">
            <w:pPr>
              <w:pStyle w:val="15"/>
              <w:widowControl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收集数据，分析数据和数据解读过程中应该本着诚实守信，实事求是的原则，不弄虚作假，本着严谨的科学态度进行数据整理和分析。如在数据收集过程中，要统一度量设备，对数据收集人员进行统一培训，研究的收集每一个数据，不弄虚作假，减少数据误差。在数据分析中更需要严谨的科学态度，首先保证数据分析方法的正确性，不仅仅是照搬硬套，按着科学事实进行数据分析。其次当遇到极端值和各种不预期结结果时，能按照科学依据进行分析，而不是主观判断，依据预期结果进行分析，以保证最科学的研究结果。</w:t>
            </w:r>
          </w:p>
          <w:p w14:paraId="6D40E7C4">
            <w:pPr>
              <w:pStyle w:val="15"/>
              <w:widowControl w:val="0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此外，医学统计学的目的是寻找医学不确定事件的规律，因此需要学生在认真学习的基础上，更要具有一定的独立思考和变通能力，更需要有一定的创新思维，才能使统计学更好的服务与医学。在与医科合作的过程中，需要具有服务社会的心态，做好自己的本职工作，使得研究结果科学可靠，为社会服务。</w:t>
            </w:r>
          </w:p>
        </w:tc>
      </w:tr>
    </w:tbl>
    <w:p w14:paraId="5F947EE9">
      <w:pPr>
        <w:pStyle w:val="17"/>
        <w:spacing w:before="326" w:beforeLines="100" w:line="360" w:lineRule="auto"/>
        <w:rPr>
          <w:rFonts w:ascii="黑体" w:hAnsi="宋体"/>
          <w:highlight w:val="none"/>
        </w:rPr>
      </w:pPr>
      <w:r>
        <w:rPr>
          <w:rFonts w:hint="eastAsia" w:ascii="黑体" w:hAnsi="宋体"/>
          <w:highlight w:val="none"/>
        </w:rPr>
        <w:t>五、课程考核</w:t>
      </w:r>
      <w:bookmarkStart w:id="4" w:name="OLE_LINK4"/>
      <w:bookmarkEnd w:id="4"/>
      <w:bookmarkStart w:id="5" w:name="OLE_LINK3"/>
      <w:bookmarkEnd w:id="5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5507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1D5A7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11F4CD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97AB3D9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835995C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1C17FF4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253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5428C7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B0043A3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01F7AB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594C68F"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6303CCF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7C76909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3CF11DE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615AEA4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1823536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D5A6DA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1A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D4132CB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717509C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F9ADAF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DB7DA3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012668D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6A62F44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70AF667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7107698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612" w:type="dxa"/>
            <w:vAlign w:val="center"/>
          </w:tcPr>
          <w:p w14:paraId="2B0F7A39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1B73837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 w14:paraId="5FF1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D62E644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655D0E9B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4AC7C2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AD2D049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377A106F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D62EAA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430304E4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7788D550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612" w:type="dxa"/>
            <w:vAlign w:val="center"/>
          </w:tcPr>
          <w:p w14:paraId="66540A9D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1F0B4E6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 w14:paraId="1D9D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093FD95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12A4F9FC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3F37DDE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DF3F34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612" w:type="dxa"/>
            <w:vAlign w:val="center"/>
          </w:tcPr>
          <w:p w14:paraId="16A9954D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6DBB7FD6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50C1DA1A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612" w:type="dxa"/>
            <w:vAlign w:val="center"/>
          </w:tcPr>
          <w:p w14:paraId="3D5BEC85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82EF13D">
            <w:pPr>
              <w:pStyle w:val="15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35DA025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  <w:tr w14:paraId="41E0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D4A780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C9686F9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06D9CF2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118C7CF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27A4A32B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6F9C9939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612" w:type="dxa"/>
            <w:vAlign w:val="center"/>
          </w:tcPr>
          <w:p w14:paraId="34088E04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0B7DDB60">
            <w:pPr>
              <w:pStyle w:val="15"/>
              <w:widowControl w:val="0"/>
            </w:pPr>
          </w:p>
        </w:tc>
        <w:tc>
          <w:tcPr>
            <w:tcW w:w="612" w:type="dxa"/>
            <w:vAlign w:val="center"/>
          </w:tcPr>
          <w:p w14:paraId="306DD4E5"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5CD0D9">
            <w:pPr>
              <w:pStyle w:val="15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</w:tbl>
    <w:p w14:paraId="4A8A3EB5">
      <w:pPr>
        <w:pStyle w:val="18"/>
        <w:spacing w:before="326" w:beforeLines="100" w:after="163"/>
        <w:jc w:val="center"/>
        <w:rPr>
          <w:rFonts w:hint="eastAsia"/>
        </w:rPr>
      </w:pPr>
    </w:p>
    <w:p w14:paraId="2B706981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7B2E1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7F5602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31DB0D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E80DC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58D42F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0890A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7FF468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668418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5EFC7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594103F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39F7921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31147930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11E70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F2101F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CAB62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32E9AD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19B5DD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537D0DA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4EAA0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128FB1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6392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FE4451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593ECE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2C54D4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245EA34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523B3CF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746CA641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A9523EE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5DC91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31DA6E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88B330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7D15B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2576D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3FDB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55806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8C7B2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1BD2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E24D8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12C1006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0F925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3C76C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91D2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8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D4A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1F88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087EB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42AD75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5D067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94323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93A9A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7443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A86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A079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C9858C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00E5A5E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00A8B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DEAD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ED51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B3F3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2818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3A6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61813C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E670E6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213EE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23D5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7C345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1153B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F318A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3992BD2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416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CB80197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4339F7E9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60F97045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AD89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DADE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8DADE7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ODE5ZTRjMjBiM2Y1ZDM3NDQzYjRiY2I1ZGFkNj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07017"/>
    <w:rsid w:val="0460225B"/>
    <w:rsid w:val="07646D91"/>
    <w:rsid w:val="07684849"/>
    <w:rsid w:val="09FF719F"/>
    <w:rsid w:val="0A8128A6"/>
    <w:rsid w:val="0B460AB5"/>
    <w:rsid w:val="0BB54A99"/>
    <w:rsid w:val="0BF32A1B"/>
    <w:rsid w:val="0DCB34F3"/>
    <w:rsid w:val="10BD2C22"/>
    <w:rsid w:val="112A13AE"/>
    <w:rsid w:val="12560DC4"/>
    <w:rsid w:val="13985199"/>
    <w:rsid w:val="14C546F7"/>
    <w:rsid w:val="16540EE3"/>
    <w:rsid w:val="19B53665"/>
    <w:rsid w:val="1E23455A"/>
    <w:rsid w:val="1E624054"/>
    <w:rsid w:val="20B50C21"/>
    <w:rsid w:val="22477195"/>
    <w:rsid w:val="22987C80"/>
    <w:rsid w:val="24192CCC"/>
    <w:rsid w:val="24565389"/>
    <w:rsid w:val="26F4679D"/>
    <w:rsid w:val="27556482"/>
    <w:rsid w:val="28885774"/>
    <w:rsid w:val="289A3F01"/>
    <w:rsid w:val="28BB1603"/>
    <w:rsid w:val="2E860EAE"/>
    <w:rsid w:val="30EB518F"/>
    <w:rsid w:val="33A7045B"/>
    <w:rsid w:val="33B15CDD"/>
    <w:rsid w:val="39132993"/>
    <w:rsid w:val="39A66CD4"/>
    <w:rsid w:val="39C91E5D"/>
    <w:rsid w:val="3BE50D48"/>
    <w:rsid w:val="3C96786D"/>
    <w:rsid w:val="3CD52CE1"/>
    <w:rsid w:val="3CE84C78"/>
    <w:rsid w:val="3E61418B"/>
    <w:rsid w:val="3FF30789"/>
    <w:rsid w:val="40F718CE"/>
    <w:rsid w:val="410F2E6A"/>
    <w:rsid w:val="41CE3E47"/>
    <w:rsid w:val="41E96EB6"/>
    <w:rsid w:val="42416C18"/>
    <w:rsid w:val="4430136C"/>
    <w:rsid w:val="46057227"/>
    <w:rsid w:val="4AB0382B"/>
    <w:rsid w:val="4ABD5C40"/>
    <w:rsid w:val="4D2B252B"/>
    <w:rsid w:val="4EE57F2D"/>
    <w:rsid w:val="4F382A60"/>
    <w:rsid w:val="51C3391A"/>
    <w:rsid w:val="537D3F15"/>
    <w:rsid w:val="542F0C54"/>
    <w:rsid w:val="569868B5"/>
    <w:rsid w:val="597B2CA5"/>
    <w:rsid w:val="5A1A58D8"/>
    <w:rsid w:val="5A64084A"/>
    <w:rsid w:val="5DF2572A"/>
    <w:rsid w:val="611F6817"/>
    <w:rsid w:val="63A31776"/>
    <w:rsid w:val="65C10F42"/>
    <w:rsid w:val="66636F9A"/>
    <w:rsid w:val="66CA1754"/>
    <w:rsid w:val="695A6582"/>
    <w:rsid w:val="6AE34B4E"/>
    <w:rsid w:val="6B6C069F"/>
    <w:rsid w:val="6C2F3156"/>
    <w:rsid w:val="6D7A46AA"/>
    <w:rsid w:val="6F1E65D4"/>
    <w:rsid w:val="6F266C86"/>
    <w:rsid w:val="6F5042C2"/>
    <w:rsid w:val="72190E55"/>
    <w:rsid w:val="734D4FC3"/>
    <w:rsid w:val="74316312"/>
    <w:rsid w:val="748A7DE8"/>
    <w:rsid w:val="74CE54BD"/>
    <w:rsid w:val="7638321B"/>
    <w:rsid w:val="76C9263C"/>
    <w:rsid w:val="780F13C8"/>
    <w:rsid w:val="78CF29B7"/>
    <w:rsid w:val="7933494E"/>
    <w:rsid w:val="7C2F7326"/>
    <w:rsid w:val="7C385448"/>
    <w:rsid w:val="7CB3663D"/>
    <w:rsid w:val="7FA97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1713</Words>
  <Characters>1808</Characters>
  <Lines>6</Lines>
  <Paragraphs>1</Paragraphs>
  <TotalTime>172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2025-03-20T00:36:25Z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0E16A492BF7F4D39BD0EC756DCB50183_13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