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内科护理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0010059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2191、2202、2209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张丹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王燕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24471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一教112三教208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护理系办公室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1869766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《内科护理》主编：冯丽华  史铁英  人民卫生出版社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48BC0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《护理专业试题精选》（第六版）主编：夏泉源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江苏凤凰科学技术出版社</w:t>
            </w:r>
          </w:p>
          <w:p w14:paraId="2066DF7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《内科护理学》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主编：尤黎明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吴瑛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《成人护理学》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蔡小红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张振香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55"/>
        <w:gridCol w:w="908"/>
        <w:gridCol w:w="1469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7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血液系统疾病常见症状的护理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36A7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缺铁性贫血的护理、巨幼红细胞贫血的护理</w:t>
            </w:r>
          </w:p>
          <w:p w14:paraId="157BF92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再生障碍性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贫血患者的护理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4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案例分析一：缺铁性贫血患者的护理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  <w:bookmarkStart w:id="0" w:name="_GoBack"/>
            <w:bookmarkEnd w:id="0"/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出血性疾病患者的护理、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白血病患者的护理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案例分析二：白血病患者的护理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内分泌与代谢系统疾病常见症状的护理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甲状腺疾病患者的护理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DC2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0659F68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案例分析三：甲亢患者的护理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库欣综合症患者的护理、糖尿病患者的护理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1FC9E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案例分析四：糖尿病患者的护理</w:t>
            </w:r>
          </w:p>
          <w:p w14:paraId="3B7CE40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痛风患者的护理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系统性红斑狼疮患者的护理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164F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3A1E1E5D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类风湿关节炎患者的护理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7231D">
            <w:pPr>
              <w:widowControl/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 w14:paraId="78780D5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7EA19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30A3D28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9E301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案例分析五：风湿免疫系统疾病患者的护理</w:t>
            </w:r>
          </w:p>
          <w:p w14:paraId="4B8EBA8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神经系统疾病常见症状的护理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305C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 w14:paraId="3D96E1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9A6B6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  <w:p w14:paraId="6057B882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周围神经疾病患者的护理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脑血管疾病患者的护理、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帕金森病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疾患者的护理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案例分析六：急性脑血管病患者的护理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复习思考题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癫痫患者的护理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复习</w:t>
            </w:r>
          </w:p>
        </w:tc>
        <w:tc>
          <w:tcPr>
            <w:tcW w:w="9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讲课</w:t>
            </w:r>
          </w:p>
        </w:tc>
        <w:tc>
          <w:tcPr>
            <w:tcW w:w="1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阶段性测验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实训报告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Theme="minorEastAsia" w:hAnsiTheme="minorEastAsia" w:eastAsiaTheme="minorEastAsia" w:cs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57150</wp:posOffset>
            </wp:positionV>
            <wp:extent cx="486410" cy="327025"/>
            <wp:effectExtent l="0" t="0" r="8890" b="15875"/>
            <wp:wrapNone/>
            <wp:docPr id="2073735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5371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78790" cy="302895"/>
            <wp:effectExtent l="0" t="0" r="16510" b="1905"/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9"/>
                    <a:srcRect l="17825" t="23869" r="17497" b="1152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478155" cy="283210"/>
            <wp:effectExtent l="0" t="0" r="17145" b="2540"/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15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5.2.21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DEF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0E26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C84D4F"/>
    <w:rsid w:val="204157A9"/>
    <w:rsid w:val="2E59298A"/>
    <w:rsid w:val="32A25E73"/>
    <w:rsid w:val="37E50B00"/>
    <w:rsid w:val="49DF08B3"/>
    <w:rsid w:val="4B6A1649"/>
    <w:rsid w:val="5CC225CF"/>
    <w:rsid w:val="65310993"/>
    <w:rsid w:val="6E256335"/>
    <w:rsid w:val="700912C5"/>
    <w:rsid w:val="70D83E7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02A418-E078-4BB4-9BEF-CFC68BA1B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748</Words>
  <Characters>814</Characters>
  <Lines>7</Lines>
  <Paragraphs>2</Paragraphs>
  <TotalTime>6</TotalTime>
  <ScaleCrop>false</ScaleCrop>
  <LinksUpToDate>false</LinksUpToDate>
  <CharactersWithSpaces>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2025-03-02T02:04:33Z</dcterms:modified>
  <dc:title>上海建桥学院教学进度计划表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eyJoZGlkIjoiMGNhZTdhZWMxOTE3MWNjMzk4MzAyNWEyNjY2MjU1Y2IiLCJ1c2VySWQiOiIyNzk5NTEzNzUifQ==</vt:lpwstr>
  </property>
  <property fmtid="{D5CDD505-2E9C-101B-9397-08002B2CF9AE}" pid="4" name="ICV">
    <vt:lpwstr>3BE10EE8D4E74AEF86D404F851523429_13</vt:lpwstr>
  </property>
</Properties>
</file>