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rPr>
        <w:t>老龄化与全球健康</w:t>
      </w:r>
      <w:r>
        <w:rPr>
          <w:rFonts w:ascii="黑体" w:hAnsi="黑体" w:eastAsia="黑体"/>
          <w:bCs/>
          <w:sz w:val="32"/>
          <w:szCs w:val="32"/>
        </w:rPr>
        <w:t xml:space="preserve">   </w:t>
      </w:r>
      <w:r>
        <w:rPr>
          <w:rFonts w:hint="eastAsia" w:ascii="黑体" w:hAnsi="黑体" w:eastAsia="黑体"/>
          <w:bCs/>
          <w:sz w:val="32"/>
          <w:szCs w:val="32"/>
        </w:rPr>
        <w:t>》本科课程教学大纲</w:t>
      </w:r>
    </w:p>
    <w:p>
      <w:pPr>
        <w:pStyle w:val="18"/>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老龄化与全球健康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Aging and Global Health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2070008</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养老服务管理/大一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专业选修课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spacing w:line="288" w:lineRule="auto"/>
              <w:jc w:val="left"/>
              <w:rPr>
                <w:rFonts w:ascii="Times New Roman" w:hAnsi="Times New Roman"/>
                <w:color w:val="000000" w:themeColor="text1"/>
                <w:sz w:val="21"/>
                <w:szCs w:val="21"/>
                <w14:textFill>
                  <w14:solidFill>
                    <w14:schemeClr w14:val="tx1"/>
                  </w14:solidFill>
                </w14:textFill>
              </w:rPr>
            </w:pPr>
            <w:r>
              <w:rPr>
                <w:rFonts w:hint="eastAsia"/>
                <w:color w:val="000000"/>
                <w:sz w:val="21"/>
                <w:szCs w:val="21"/>
              </w:rPr>
              <w:t>《老龄化与全球健康》，冯友梅、吴蓓，人民卫生出版社，2018年5月第1版</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widowControl w:val="0"/>
              <w:jc w:val="left"/>
              <w:rPr>
                <w:color w:val="000000"/>
                <w:sz w:val="20"/>
                <w:szCs w:val="20"/>
              </w:rPr>
            </w:pPr>
            <w:r>
              <w:rPr>
                <w:rFonts w:hint="eastAsia"/>
                <w:color w:val="000000"/>
                <w:sz w:val="20"/>
                <w:szCs w:val="20"/>
              </w:rPr>
              <w:t xml:space="preserve">管理学基础   21700849  (3)    </w:t>
            </w:r>
          </w:p>
          <w:p>
            <w:pPr>
              <w:widowControl w:val="0"/>
              <w:jc w:val="left"/>
            </w:pPr>
            <w:r>
              <w:rPr>
                <w:color w:val="000000"/>
                <w:sz w:val="20"/>
                <w:szCs w:val="20"/>
              </w:rPr>
              <w:t>老年护理学</w:t>
            </w:r>
            <w:r>
              <w:rPr>
                <w:rFonts w:hint="eastAsia"/>
                <w:color w:val="000000"/>
                <w:sz w:val="20"/>
                <w:szCs w:val="20"/>
              </w:rPr>
              <w:t xml:space="preserve"> </w:t>
            </w:r>
            <w:r>
              <w:rPr>
                <w:color w:val="000000"/>
                <w:sz w:val="20"/>
                <w:szCs w:val="20"/>
              </w:rPr>
              <w:t xml:space="preserve">  2170052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numPr>
                <w:ilvl w:val="0"/>
                <w:numId w:val="1"/>
              </w:numPr>
              <w:spacing w:line="288" w:lineRule="auto"/>
              <w:ind w:firstLine="420" w:firstLineChars="200"/>
              <w:jc w:val="left"/>
              <w:rPr>
                <w:color w:val="000000"/>
                <w:sz w:val="21"/>
                <w:szCs w:val="21"/>
              </w:rPr>
            </w:pPr>
            <w:r>
              <w:rPr>
                <w:rFonts w:hint="eastAsia"/>
                <w:color w:val="000000"/>
                <w:sz w:val="21"/>
                <w:szCs w:val="21"/>
              </w:rPr>
              <w:t>目的</w:t>
            </w:r>
          </w:p>
          <w:p>
            <w:pPr>
              <w:widowControl/>
              <w:spacing w:line="288" w:lineRule="auto"/>
              <w:jc w:val="left"/>
              <w:rPr>
                <w:color w:val="000000"/>
                <w:sz w:val="21"/>
                <w:szCs w:val="21"/>
              </w:rPr>
            </w:pPr>
            <w:r>
              <w:rPr>
                <w:rFonts w:hint="eastAsia"/>
                <w:color w:val="000000"/>
                <w:sz w:val="21"/>
                <w:szCs w:val="21"/>
              </w:rPr>
              <w:t xml:space="preserve">   当前，世界人口老龄化的深度与广度史无前例，传统人口金字塔的“塔形”结构正在发生改变，人口老龄化已被公认为是跨国界、跨民族、跨文化的一个全球性问题。事实上，老龄化不仅影响了人类疾病谱、医疗服务模式，还影响到现实社会的经济、文化、政治、生产与生活各个方面。全球正将面临一场前所未有的世纪大挑战，与西方发达国家相比较，包括中国在内的大多数发展中国家的形势更为严峻。老龄化已经成为全球可持续发展、实现人类健康福祉的重要议题。</w:t>
            </w:r>
          </w:p>
          <w:p>
            <w:pPr>
              <w:widowControl/>
              <w:numPr>
                <w:ilvl w:val="0"/>
                <w:numId w:val="1"/>
              </w:numPr>
              <w:spacing w:line="288" w:lineRule="auto"/>
              <w:ind w:firstLine="420" w:firstLineChars="200"/>
              <w:jc w:val="left"/>
              <w:rPr>
                <w:color w:val="000000"/>
                <w:sz w:val="21"/>
                <w:szCs w:val="21"/>
              </w:rPr>
            </w:pPr>
            <w:r>
              <w:rPr>
                <w:rFonts w:hint="eastAsia"/>
                <w:color w:val="000000"/>
                <w:sz w:val="21"/>
                <w:szCs w:val="21"/>
              </w:rPr>
              <w:t>内容</w:t>
            </w:r>
          </w:p>
          <w:p>
            <w:pPr>
              <w:widowControl/>
              <w:spacing w:line="288" w:lineRule="auto"/>
              <w:ind w:firstLine="210" w:firstLineChars="100"/>
              <w:jc w:val="left"/>
              <w:rPr>
                <w:color w:val="000000"/>
                <w:sz w:val="21"/>
                <w:szCs w:val="21"/>
              </w:rPr>
            </w:pPr>
            <w:r>
              <w:rPr>
                <w:rFonts w:hint="eastAsia"/>
                <w:color w:val="000000"/>
                <w:sz w:val="21"/>
                <w:szCs w:val="21"/>
              </w:rPr>
              <w:t>《老龄化与全球健康》是养老服务管理本科专业开设的一门选修课，以老年人群疾病与健康的基本理论、知识为主线，从全球视野和多学科视角，运用数据和事实，阐述人口老龄化、老年疾病负担、老年健康社会决定因素及其治理策略等相关内容。</w:t>
            </w:r>
          </w:p>
          <w:p>
            <w:pPr>
              <w:widowControl/>
              <w:numPr>
                <w:ilvl w:val="0"/>
                <w:numId w:val="1"/>
              </w:numPr>
              <w:spacing w:line="288" w:lineRule="auto"/>
              <w:ind w:firstLine="420" w:firstLineChars="200"/>
              <w:jc w:val="left"/>
              <w:rPr>
                <w:color w:val="000000"/>
                <w:sz w:val="21"/>
                <w:szCs w:val="21"/>
              </w:rPr>
            </w:pPr>
            <w:r>
              <w:rPr>
                <w:rFonts w:hint="eastAsia"/>
                <w:color w:val="000000"/>
                <w:sz w:val="21"/>
                <w:szCs w:val="21"/>
              </w:rPr>
              <w:t>预期成果</w:t>
            </w:r>
          </w:p>
          <w:p>
            <w:pPr>
              <w:widowControl/>
              <w:spacing w:line="288" w:lineRule="auto"/>
              <w:ind w:firstLine="420" w:firstLineChars="200"/>
              <w:jc w:val="left"/>
              <w:rPr>
                <w:color w:val="000000"/>
                <w:sz w:val="20"/>
                <w:szCs w:val="20"/>
              </w:rPr>
            </w:pPr>
            <w:r>
              <w:rPr>
                <w:rFonts w:hint="eastAsia"/>
                <w:color w:val="000000"/>
                <w:sz w:val="21"/>
                <w:szCs w:val="21"/>
              </w:rPr>
              <w:t>通过本课程的学习，学生对于当前全球和中国的老龄化问题将会有深刻的认识，并对当前中国的老龄化问题进行深入的思考，以期获得更多的解决老龄化问题的思路和方案。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13"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spacing w:line="288" w:lineRule="auto"/>
              <w:ind w:firstLine="420" w:firstLineChars="200"/>
              <w:jc w:val="left"/>
            </w:pPr>
            <w:r>
              <w:rPr>
                <w:color w:val="000000"/>
                <w:sz w:val="21"/>
                <w:szCs w:val="21"/>
              </w:rPr>
              <w:t>该课程适合</w:t>
            </w:r>
            <w:r>
              <w:rPr>
                <w:rFonts w:hint="eastAsia"/>
                <w:color w:val="000000"/>
                <w:sz w:val="21"/>
                <w:szCs w:val="21"/>
              </w:rPr>
              <w:t>于养老服务管理本科</w:t>
            </w:r>
            <w:r>
              <w:rPr>
                <w:color w:val="000000"/>
                <w:sz w:val="21"/>
                <w:szCs w:val="21"/>
              </w:rPr>
              <w:t>专业、</w:t>
            </w:r>
            <w:r>
              <w:rPr>
                <w:rFonts w:hint="eastAsia"/>
                <w:color w:val="000000"/>
                <w:sz w:val="21"/>
                <w:szCs w:val="21"/>
              </w:rPr>
              <w:t>大学一</w:t>
            </w:r>
            <w:r>
              <w:rPr>
                <w:color w:val="000000"/>
                <w:sz w:val="21"/>
                <w:szCs w:val="21"/>
              </w:rPr>
              <w:t>年级</w:t>
            </w:r>
            <w:r>
              <w:rPr>
                <w:rFonts w:hint="eastAsia"/>
                <w:color w:val="000000"/>
                <w:sz w:val="21"/>
                <w:szCs w:val="21"/>
              </w:rPr>
              <w:t>第二学期开设</w:t>
            </w:r>
            <w:r>
              <w:rPr>
                <w:color w:val="000000"/>
                <w:sz w:val="21"/>
                <w:szCs w:val="21"/>
              </w:rPr>
              <w:t>、</w:t>
            </w:r>
            <w:r>
              <w:rPr>
                <w:rFonts w:hint="eastAsia"/>
                <w:color w:val="000000"/>
                <w:sz w:val="21"/>
                <w:szCs w:val="21"/>
              </w:rPr>
              <w:t>学生需要具备广阔的养老行业视野，对国家和国际的老龄化认识有一定的认识。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688975" cy="2927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88975" cy="292735"/>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ascii="Times New Roman" w:hAnsi="Times New Roman"/>
                <w:color w:val="000000"/>
                <w:sz w:val="21"/>
                <w:szCs w:val="21"/>
              </w:rPr>
              <w:t>4</w:t>
            </w:r>
            <w:r>
              <w:rPr>
                <w:rFonts w:hint="eastAsia" w:ascii="Times New Roman" w:hAnsi="Times New Roman"/>
                <w:color w:val="000000"/>
                <w:sz w:val="21"/>
                <w:szCs w:val="21"/>
              </w:rPr>
              <w:t>.</w:t>
            </w:r>
            <w:r>
              <w:rPr>
                <w:rFonts w:ascii="Times New Roman" w:hAnsi="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eastAsia="宋体"/>
                <w:sz w:val="28"/>
                <w:szCs w:val="28"/>
                <w:lang w:eastAsia="zh-CN"/>
              </w:rPr>
              <w:drawing>
                <wp:inline distT="0" distB="0" distL="114300" distR="114300">
                  <wp:extent cx="568960" cy="326390"/>
                  <wp:effectExtent l="0" t="0" r="2540" b="3810"/>
                  <wp:docPr id="2" name="图片 1"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026d8e4d24357876f265dea2466ff0c"/>
                          <pic:cNvPicPr>
                            <a:picLocks noChangeAspect="1"/>
                          </pic:cNvPicPr>
                        </pic:nvPicPr>
                        <pic:blipFill>
                          <a:blip r:embed="rId7"/>
                          <a:stretch>
                            <a:fillRect/>
                          </a:stretch>
                        </pic:blipFill>
                        <pic:spPr>
                          <a:xfrm>
                            <a:off x="0" y="0"/>
                            <a:ext cx="568960" cy="326390"/>
                          </a:xfrm>
                          <a:prstGeom prst="rect">
                            <a:avLst/>
                          </a:prstGeom>
                          <a:noFill/>
                          <a:ln>
                            <a:noFill/>
                          </a:ln>
                        </pic:spPr>
                      </pic:pic>
                    </a:graphicData>
                  </a:graphic>
                </wp:inline>
              </w:drawing>
            </w:r>
            <w:bookmarkStart w:id="6" w:name="_GoBack"/>
            <w:bookmarkEnd w:id="6"/>
            <w:r>
              <w:rPr>
                <w:rFonts w:hint="eastAsia"/>
                <w:sz w:val="21"/>
                <w:szCs w:val="21"/>
              </w:rPr>
              <w:t>（签名）</w:t>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ascii="Times New Roman" w:hAnsi="Times New Roman"/>
                <w:color w:val="000000"/>
                <w:sz w:val="21"/>
                <w:szCs w:val="21"/>
              </w:rPr>
              <w:t>4</w:t>
            </w:r>
            <w:r>
              <w:rPr>
                <w:rFonts w:hint="eastAsia" w:ascii="Times New Roman" w:hAnsi="Times New Roman"/>
                <w:color w:val="000000"/>
                <w:sz w:val="21"/>
                <w:szCs w:val="21"/>
              </w:rPr>
              <w:t>.</w:t>
            </w:r>
            <w:r>
              <w:rPr>
                <w:rFonts w:ascii="Times New Roman" w:hAnsi="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ascii="Times New Roman" w:hAnsi="Times New Roman"/>
                <w:color w:val="000000"/>
                <w:sz w:val="21"/>
                <w:szCs w:val="21"/>
              </w:rPr>
              <w:t>4</w:t>
            </w:r>
            <w:r>
              <w:rPr>
                <w:rFonts w:hint="eastAsia" w:ascii="Times New Roman" w:hAnsi="Times New Roman"/>
                <w:color w:val="000000"/>
                <w:sz w:val="21"/>
                <w:szCs w:val="21"/>
              </w:rPr>
              <w:t>.</w:t>
            </w:r>
            <w:r>
              <w:rPr>
                <w:rFonts w:ascii="Times New Roman" w:hAnsi="Times New Roman"/>
                <w:color w:val="000000"/>
                <w:sz w:val="21"/>
                <w:szCs w:val="21"/>
              </w:rPr>
              <w:t>3</w:t>
            </w:r>
          </w:p>
        </w:tc>
      </w:tr>
    </w:tbl>
    <w:p>
      <w:pPr>
        <w:spacing w:line="100" w:lineRule="exact"/>
        <w:rPr>
          <w:rFonts w:ascii="Arial" w:hAnsi="Arial" w:eastAsia="黑体"/>
        </w:rPr>
      </w:pPr>
      <w:r>
        <w:br w:type="page"/>
      </w:r>
    </w:p>
    <w:p>
      <w:pPr>
        <w:pStyle w:val="18"/>
        <w:spacing w:before="326" w:beforeLines="100" w:line="360" w:lineRule="auto"/>
        <w:rPr>
          <w:rFonts w:ascii="黑体" w:hAnsi="宋体"/>
        </w:rPr>
      </w:pPr>
      <w:r>
        <w:rPr>
          <w:rFonts w:hint="eastAsia" w:ascii="黑体" w:hAnsi="宋体"/>
        </w:rPr>
        <w:t>二、课程目标与毕业要求</w:t>
      </w:r>
    </w:p>
    <w:p>
      <w:pPr>
        <w:pStyle w:val="19"/>
      </w:pPr>
      <w:r>
        <w:rPr>
          <w:rFonts w:hint="eastAsia"/>
        </w:rPr>
        <w:t xml:space="preserve">（一）课程目标 </w:t>
      </w:r>
    </w:p>
    <w:tbl>
      <w:tblPr>
        <w:tblStyle w:val="9"/>
        <w:tblpPr w:leftFromText="180" w:rightFromText="180" w:vertAnchor="text" w:tblpXSpec="center" w:tblpY="1"/>
        <w:tblOverlap w:val="never"/>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1209"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7"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0"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209" w:type="dxa"/>
            <w:vAlign w:val="center"/>
          </w:tcPr>
          <w:p>
            <w:pPr>
              <w:snapToGrid w:val="0"/>
              <w:jc w:val="center"/>
            </w:pPr>
            <w:r>
              <w:rPr>
                <w:rFonts w:hint="eastAsia" w:ascii="黑体" w:hAnsi="黑体" w:eastAsia="黑体"/>
                <w:bCs/>
                <w:color w:val="000000"/>
                <w:sz w:val="21"/>
                <w:szCs w:val="18"/>
              </w:rPr>
              <w:t>知识目标</w:t>
            </w:r>
          </w:p>
        </w:tc>
        <w:tc>
          <w:tcPr>
            <w:tcW w:w="767"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0" w:type="dxa"/>
            <w:vAlign w:val="center"/>
          </w:tcPr>
          <w:p>
            <w:pPr>
              <w:pStyle w:val="16"/>
            </w:pPr>
            <w:r>
              <w:rPr>
                <w:rFonts w:hint="eastAsia"/>
              </w:rPr>
              <w:t>掌握国内外老龄化的发展特征与趋势，并结合社会实际，持续发展自我，终身学习。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209"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技能目标</w:t>
            </w:r>
          </w:p>
        </w:tc>
        <w:tc>
          <w:tcPr>
            <w:tcW w:w="767"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300" w:type="dxa"/>
            <w:vAlign w:val="center"/>
          </w:tcPr>
          <w:p>
            <w:pPr>
              <w:pStyle w:val="16"/>
            </w:pPr>
            <w:r>
              <w:rPr>
                <w:rFonts w:hint="eastAsia"/>
              </w:rPr>
              <w:t>具备较好的外语表达能力，能够进行相关外文文献检索及学习。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87" w:hRule="atLeast"/>
        </w:trPr>
        <w:tc>
          <w:tcPr>
            <w:tcW w:w="1209"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7"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300" w:type="dxa"/>
            <w:vAlign w:val="center"/>
          </w:tcPr>
          <w:p>
            <w:pPr>
              <w:pStyle w:val="16"/>
            </w:pPr>
            <w:r>
              <w:rPr>
                <w:rFonts w:hint="eastAsia"/>
              </w:rPr>
              <w:t>了解国际老龄化的发展趋势，传承弘扬雷锋精神，以感恩奉献之心服务社会，服务老人。</w:t>
            </w:r>
          </w:p>
        </w:tc>
      </w:tr>
    </w:tbl>
    <w:p>
      <w:pPr>
        <w:pStyle w:val="19"/>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6"/>
            </w:pPr>
            <w:r>
              <w:t>LO1品德修养：拥护</w:t>
            </w:r>
            <w:r>
              <w:rPr>
                <w:rFonts w:hint="eastAsia"/>
              </w:rPr>
              <w:t>中国共产</w:t>
            </w:r>
            <w:r>
              <w:t>党的领导，坚定理想信念，自觉涵养和积极弘扬社会主义核心价值观，增强政治认同、厚植家国情怀、遵守法律法规、传承雷锋精神，践行</w:t>
            </w:r>
            <w:r>
              <w:rPr>
                <w:rFonts w:hint="eastAsia"/>
              </w:rPr>
              <w:t>“感恩、回报、爱心、责任”</w:t>
            </w:r>
            <w:r>
              <w:t>八字校训，积极服务他人、服务社会、诚信尽责、爱岗敬业。</w:t>
            </w:r>
          </w:p>
          <w:p>
            <w:pPr>
              <w:pStyle w:val="16"/>
              <w:rPr>
                <w:rFonts w:ascii="宋体" w:hAnsi="宋体"/>
              </w:rPr>
            </w:pPr>
            <w:r>
              <w:rPr>
                <w:rFonts w:hint="eastAsia"/>
              </w:rPr>
              <w:t>③奉献社会，富有爱心，懂得感恩，自觉传承和弘扬雷锋精神，具有服务社会的意愿和行动，积极参加志愿者服务。</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6"/>
            </w:pPr>
            <w:r>
              <w:rPr>
                <w:rFonts w:hint="eastAsia"/>
              </w:rPr>
              <w:t>LO5健康发展：懂得审美、热爱劳动、为人热忱、身心健康、耐挫折，具有可持续发展的能力。</w:t>
            </w:r>
          </w:p>
          <w:p>
            <w:pPr>
              <w:pStyle w:val="16"/>
            </w:pPr>
            <w:r>
              <w:rPr>
                <w:rFonts w:hint="eastAsia"/>
              </w:rPr>
              <w:t>⑤持续发展，具有爱护环境的意识，与自然和谐相处的环保理念与行动；具备终生学习的意识和能力。</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6"/>
            </w:pPr>
            <w:r>
              <w:rPr>
                <w:rFonts w:hint="eastAsia"/>
              </w:rPr>
              <w:t>LO8国际视野：具有基本的外语表达沟通能力与跨文化理解能力，有国际竞争与合作的意识。</w:t>
            </w:r>
          </w:p>
          <w:p>
            <w:pPr>
              <w:pStyle w:val="16"/>
            </w:pPr>
            <w:r>
              <w:rPr>
                <w:rFonts w:hint="eastAsia"/>
              </w:rPr>
              <w:t>①具备外语表达沟通能力，达到本专业的要求。</w:t>
            </w:r>
          </w:p>
        </w:tc>
      </w:tr>
    </w:tbl>
    <w:p>
      <w:pPr>
        <w:pStyle w:val="19"/>
      </w:pPr>
      <w:r>
        <w:rPr>
          <w:rFonts w:hint="eastAsia"/>
        </w:rPr>
        <w:t xml:space="preserve">（三）毕业要求与课程目标的关系 </w:t>
      </w:r>
    </w:p>
    <w:tbl>
      <w:tblPr>
        <w:tblStyle w:val="9"/>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trPr>
        <w:tc>
          <w:tcPr>
            <w:tcW w:w="762" w:type="dxa"/>
            <w:tcBorders>
              <w:top w:val="single" w:color="auto" w:sz="12" w:space="0"/>
              <w:left w:val="single" w:color="auto" w:sz="12" w:space="0"/>
              <w:right w:val="single" w:color="auto" w:sz="4" w:space="0"/>
            </w:tcBorders>
            <w:shd w:val="clear" w:color="auto" w:fill="auto"/>
            <w:vAlign w:val="center"/>
          </w:tcPr>
          <w:p>
            <w:pPr>
              <w:pStyle w:val="15"/>
              <w:rPr>
                <w:szCs w:val="16"/>
              </w:rPr>
            </w:pPr>
            <w:r>
              <w:rPr>
                <w:rFonts w:hint="eastAsia" w:ascii="黑体" w:hAnsi="黑体"/>
                <w:szCs w:val="18"/>
              </w:rPr>
              <w:t>毕业要求</w:t>
            </w:r>
          </w:p>
        </w:tc>
        <w:tc>
          <w:tcPr>
            <w:tcW w:w="778" w:type="dxa"/>
            <w:tcBorders>
              <w:top w:val="single" w:color="auto" w:sz="12" w:space="0"/>
              <w:left w:val="single" w:color="auto" w:sz="4" w:space="0"/>
            </w:tcBorders>
            <w:vAlign w:val="center"/>
          </w:tcPr>
          <w:p>
            <w:pPr>
              <w:pStyle w:val="15"/>
              <w:rPr>
                <w:szCs w:val="16"/>
              </w:rPr>
            </w:pPr>
            <w:r>
              <w:rPr>
                <w:rFonts w:hint="eastAsia"/>
                <w:szCs w:val="16"/>
              </w:rPr>
              <w:t>指标点</w:t>
            </w:r>
          </w:p>
        </w:tc>
        <w:tc>
          <w:tcPr>
            <w:tcW w:w="778" w:type="dxa"/>
            <w:tcBorders>
              <w:top w:val="single" w:color="auto" w:sz="12" w:space="0"/>
              <w:right w:val="double" w:color="auto" w:sz="4" w:space="0"/>
            </w:tcBorders>
            <w:shd w:val="clear" w:color="auto" w:fill="auto"/>
            <w:vAlign w:val="center"/>
          </w:tcPr>
          <w:p>
            <w:pPr>
              <w:pStyle w:val="15"/>
              <w:rPr>
                <w:szCs w:val="16"/>
              </w:rPr>
            </w:pPr>
            <w:r>
              <w:rPr>
                <w:rFonts w:hint="eastAsia"/>
                <w:szCs w:val="16"/>
              </w:rPr>
              <w:t>支撑度</w:t>
            </w:r>
          </w:p>
        </w:tc>
        <w:tc>
          <w:tcPr>
            <w:tcW w:w="4641" w:type="dxa"/>
            <w:tcBorders>
              <w:top w:val="single" w:color="auto" w:sz="12" w:space="0"/>
            </w:tcBorders>
            <w:vAlign w:val="center"/>
          </w:tcPr>
          <w:p>
            <w:pPr>
              <w:pStyle w:val="15"/>
              <w:rPr>
                <w:szCs w:val="16"/>
              </w:rPr>
            </w:pPr>
            <w:r>
              <w:rPr>
                <w:rFonts w:hint="eastAsia"/>
                <w:szCs w:val="16"/>
              </w:rPr>
              <w:t>课程目标</w:t>
            </w:r>
          </w:p>
        </w:tc>
        <w:tc>
          <w:tcPr>
            <w:tcW w:w="1317" w:type="dxa"/>
            <w:tcBorders>
              <w:top w:val="single" w:color="auto" w:sz="12" w:space="0"/>
              <w:right w:val="single" w:color="auto" w:sz="12" w:space="0"/>
            </w:tcBorders>
            <w:vAlign w:val="center"/>
          </w:tcPr>
          <w:p>
            <w:pPr>
              <w:pStyle w:val="15"/>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22" w:hRule="atLeast"/>
        </w:trPr>
        <w:tc>
          <w:tcPr>
            <w:tcW w:w="762" w:type="dxa"/>
            <w:tcBorders>
              <w:left w:val="single" w:color="auto" w:sz="12" w:space="0"/>
              <w:right w:val="single" w:color="auto" w:sz="4" w:space="0"/>
            </w:tcBorders>
            <w:shd w:val="clear" w:color="auto" w:fill="auto"/>
            <w:vAlign w:val="center"/>
          </w:tcPr>
          <w:p>
            <w:pPr>
              <w:pStyle w:val="16"/>
            </w:pPr>
            <w:r>
              <w:t>LO1</w:t>
            </w:r>
          </w:p>
        </w:tc>
        <w:tc>
          <w:tcPr>
            <w:tcW w:w="778" w:type="dxa"/>
            <w:tcBorders>
              <w:left w:val="single" w:color="auto" w:sz="4" w:space="0"/>
            </w:tcBorders>
            <w:vAlign w:val="center"/>
          </w:tcPr>
          <w:p>
            <w:pPr>
              <w:pStyle w:val="16"/>
            </w:pPr>
            <w:r>
              <w:rPr>
                <w:rFonts w:hint="eastAsia"/>
              </w:rPr>
              <w:t>③</w:t>
            </w:r>
          </w:p>
        </w:tc>
        <w:tc>
          <w:tcPr>
            <w:tcW w:w="778" w:type="dxa"/>
            <w:tcBorders>
              <w:right w:val="double" w:color="auto" w:sz="4" w:space="0"/>
            </w:tcBorders>
            <w:shd w:val="clear" w:color="auto" w:fill="auto"/>
            <w:vAlign w:val="center"/>
          </w:tcPr>
          <w:p>
            <w:pPr>
              <w:pStyle w:val="16"/>
            </w:pPr>
            <w:r>
              <w:rPr>
                <w:rFonts w:hint="eastAsia"/>
              </w:rPr>
              <w:t>L</w:t>
            </w:r>
          </w:p>
        </w:tc>
        <w:tc>
          <w:tcPr>
            <w:tcW w:w="4641" w:type="dxa"/>
            <w:vAlign w:val="center"/>
          </w:tcPr>
          <w:p>
            <w:pPr>
              <w:pStyle w:val="16"/>
            </w:pPr>
            <w:r>
              <w:rPr>
                <w:rFonts w:hint="eastAsia"/>
              </w:rPr>
              <w:t>3.了解国际老龄化的发展趋势，传承弘扬雷锋精</w:t>
            </w:r>
            <w:r>
              <w:rPr>
                <w:rFonts w:hint="eastAsia"/>
                <w:color w:val="auto"/>
                <w:sz w:val="24"/>
                <w:szCs w:val="24"/>
              </w:rPr>
              <w:t xml:space="preserve"> </w:t>
            </w:r>
            <w:r>
              <w:rPr>
                <w:rFonts w:hint="eastAsia"/>
              </w:rPr>
              <w:t>神，以感恩奉献之心服务社会，服务老人。</w:t>
            </w:r>
          </w:p>
        </w:tc>
        <w:tc>
          <w:tcPr>
            <w:tcW w:w="1317" w:type="dxa"/>
            <w:tcBorders>
              <w:right w:val="single" w:color="auto" w:sz="12" w:space="0"/>
            </w:tcBorders>
            <w:vAlign w:val="center"/>
          </w:tcPr>
          <w:p>
            <w:pPr>
              <w:pStyle w:val="1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11" w:hRule="atLeast"/>
        </w:trPr>
        <w:tc>
          <w:tcPr>
            <w:tcW w:w="762" w:type="dxa"/>
            <w:tcBorders>
              <w:left w:val="single" w:color="auto" w:sz="12" w:space="0"/>
              <w:right w:val="single" w:color="auto" w:sz="4" w:space="0"/>
            </w:tcBorders>
            <w:shd w:val="clear" w:color="auto" w:fill="auto"/>
            <w:vAlign w:val="center"/>
          </w:tcPr>
          <w:p>
            <w:pPr>
              <w:pStyle w:val="16"/>
            </w:pPr>
            <w:r>
              <w:rPr>
                <w:rFonts w:hint="eastAsia"/>
              </w:rPr>
              <w:t>LO5</w:t>
            </w:r>
          </w:p>
        </w:tc>
        <w:tc>
          <w:tcPr>
            <w:tcW w:w="778" w:type="dxa"/>
            <w:tcBorders>
              <w:left w:val="single" w:color="auto" w:sz="4" w:space="0"/>
            </w:tcBorders>
            <w:vAlign w:val="center"/>
          </w:tcPr>
          <w:p>
            <w:pPr>
              <w:pStyle w:val="16"/>
            </w:pPr>
            <w:r>
              <w:rPr>
                <w:rFonts w:hint="eastAsia"/>
              </w:rPr>
              <w:t>⑤</w:t>
            </w:r>
          </w:p>
        </w:tc>
        <w:tc>
          <w:tcPr>
            <w:tcW w:w="778" w:type="dxa"/>
            <w:tcBorders>
              <w:right w:val="double" w:color="auto" w:sz="4" w:space="0"/>
            </w:tcBorders>
            <w:shd w:val="clear" w:color="auto" w:fill="auto"/>
            <w:vAlign w:val="center"/>
          </w:tcPr>
          <w:p>
            <w:pPr>
              <w:pStyle w:val="16"/>
              <w:rPr>
                <w:rFonts w:ascii="宋体" w:hAnsi="宋体"/>
              </w:rPr>
            </w:pPr>
            <w:r>
              <w:rPr>
                <w:rFonts w:hint="eastAsia"/>
              </w:rPr>
              <w:t>M</w:t>
            </w:r>
          </w:p>
        </w:tc>
        <w:tc>
          <w:tcPr>
            <w:tcW w:w="4641" w:type="dxa"/>
            <w:vAlign w:val="center"/>
          </w:tcPr>
          <w:p>
            <w:pPr>
              <w:pStyle w:val="16"/>
            </w:pPr>
            <w:r>
              <w:rPr>
                <w:rFonts w:hint="eastAsia"/>
              </w:rPr>
              <w:t>1.掌握国内外老龄化的发展特征与趋势，并结合社会实际，持续发展自我，终身学习。</w:t>
            </w:r>
          </w:p>
        </w:tc>
        <w:tc>
          <w:tcPr>
            <w:tcW w:w="1317" w:type="dxa"/>
            <w:tcBorders>
              <w:right w:val="single" w:color="auto" w:sz="12" w:space="0"/>
            </w:tcBorders>
            <w:vAlign w:val="center"/>
          </w:tcPr>
          <w:p>
            <w:pPr>
              <w:pStyle w:val="1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762" w:type="dxa"/>
            <w:tcBorders>
              <w:left w:val="single" w:color="auto" w:sz="12" w:space="0"/>
              <w:bottom w:val="single" w:color="auto" w:sz="12" w:space="0"/>
              <w:right w:val="single" w:color="auto" w:sz="4" w:space="0"/>
            </w:tcBorders>
            <w:shd w:val="clear" w:color="auto" w:fill="auto"/>
          </w:tcPr>
          <w:p>
            <w:pPr>
              <w:pStyle w:val="16"/>
            </w:pPr>
            <w:r>
              <w:rPr>
                <w:rFonts w:hint="eastAsia"/>
              </w:rPr>
              <w:t>LO8</w:t>
            </w:r>
          </w:p>
        </w:tc>
        <w:tc>
          <w:tcPr>
            <w:tcW w:w="778" w:type="dxa"/>
            <w:tcBorders>
              <w:left w:val="single" w:color="auto" w:sz="4" w:space="0"/>
              <w:bottom w:val="single" w:color="auto" w:sz="12" w:space="0"/>
            </w:tcBorders>
            <w:vAlign w:val="center"/>
          </w:tcPr>
          <w:p>
            <w:pPr>
              <w:pStyle w:val="16"/>
              <w:rPr>
                <w:rFonts w:cs="Times New Roman"/>
              </w:rPr>
            </w:pPr>
            <w:r>
              <w:rPr>
                <w:rFonts w:hint="eastAsia"/>
              </w:rPr>
              <w:t>①</w:t>
            </w:r>
          </w:p>
        </w:tc>
        <w:tc>
          <w:tcPr>
            <w:tcW w:w="778" w:type="dxa"/>
            <w:tcBorders>
              <w:bottom w:val="single" w:color="auto" w:sz="12" w:space="0"/>
              <w:right w:val="double" w:color="auto" w:sz="4" w:space="0"/>
            </w:tcBorders>
            <w:shd w:val="clear" w:color="auto" w:fill="auto"/>
            <w:vAlign w:val="center"/>
          </w:tcPr>
          <w:p>
            <w:pPr>
              <w:pStyle w:val="16"/>
            </w:pPr>
            <w:r>
              <w:rPr>
                <w:rFonts w:hint="eastAsia"/>
              </w:rPr>
              <w:t>H</w:t>
            </w:r>
          </w:p>
        </w:tc>
        <w:tc>
          <w:tcPr>
            <w:tcW w:w="4641" w:type="dxa"/>
            <w:tcBorders>
              <w:bottom w:val="single" w:color="auto" w:sz="12" w:space="0"/>
            </w:tcBorders>
            <w:vAlign w:val="center"/>
          </w:tcPr>
          <w:p>
            <w:pPr>
              <w:pStyle w:val="16"/>
            </w:pPr>
            <w:r>
              <w:rPr>
                <w:rFonts w:hint="eastAsia"/>
              </w:rPr>
              <w:t>2.具备较好的外语表达能力，能够进行相关外文文献检索及学习。</w:t>
            </w:r>
          </w:p>
        </w:tc>
        <w:tc>
          <w:tcPr>
            <w:tcW w:w="1317" w:type="dxa"/>
            <w:tcBorders>
              <w:bottom w:val="single" w:color="auto" w:sz="12" w:space="0"/>
              <w:right w:val="single" w:color="auto" w:sz="12" w:space="0"/>
            </w:tcBorders>
            <w:vAlign w:val="center"/>
          </w:tcPr>
          <w:p>
            <w:pPr>
              <w:pStyle w:val="16"/>
            </w:pPr>
            <w:r>
              <w:rPr>
                <w:rFonts w:hint="eastAsia"/>
              </w:rPr>
              <w:t>100%</w:t>
            </w:r>
          </w:p>
        </w:tc>
      </w:tr>
    </w:tbl>
    <w:p>
      <w:pPr>
        <w:pStyle w:val="18"/>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8"/>
        <w:spacing w:before="326" w:beforeLines="100" w:line="360" w:lineRule="auto"/>
        <w:rPr>
          <w:rFonts w:ascii="黑体" w:hAnsi="宋体"/>
        </w:rPr>
      </w:pPr>
      <w:r>
        <w:rPr>
          <w:rFonts w:hint="eastAsia" w:ascii="黑体" w:hAnsi="宋体"/>
        </w:rPr>
        <w:t>（一）各教学单元预期学习成果与教学内容</w:t>
      </w:r>
    </w:p>
    <w:tbl>
      <w:tblPr>
        <w:tblStyle w:val="10"/>
        <w:tblW w:w="8506" w:type="dxa"/>
        <w:tblInd w:w="-15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0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06" w:type="dxa"/>
          </w:tcPr>
          <w:p>
            <w:pPr>
              <w:pStyle w:val="16"/>
            </w:pPr>
            <w:bookmarkStart w:id="0" w:name="OLE_LINK6"/>
            <w:bookmarkStart w:id="1" w:name="OLE_LINK5"/>
            <w:r>
              <w:rPr>
                <w:rFonts w:hint="eastAsia"/>
              </w:rPr>
              <w:t>第一章 概述</w:t>
            </w:r>
          </w:p>
          <w:p>
            <w:pPr>
              <w:widowControl w:val="0"/>
              <w:snapToGrid w:val="0"/>
              <w:spacing w:line="288" w:lineRule="auto"/>
              <w:jc w:val="left"/>
              <w:rPr>
                <w:b/>
                <w:sz w:val="21"/>
                <w:szCs w:val="21"/>
              </w:rPr>
            </w:pPr>
            <w:r>
              <w:rPr>
                <w:rFonts w:hint="eastAsia"/>
                <w:b/>
                <w:sz w:val="21"/>
                <w:szCs w:val="21"/>
              </w:rPr>
              <w:t>知识点：</w:t>
            </w:r>
          </w:p>
          <w:p>
            <w:pPr>
              <w:widowControl w:val="0"/>
              <w:snapToGrid w:val="0"/>
              <w:spacing w:line="288" w:lineRule="auto"/>
              <w:jc w:val="left"/>
              <w:rPr>
                <w:color w:val="000000"/>
                <w:sz w:val="21"/>
                <w:szCs w:val="21"/>
              </w:rPr>
            </w:pPr>
            <w:r>
              <w:rPr>
                <w:rFonts w:hint="eastAsia"/>
                <w:b/>
                <w:sz w:val="21"/>
                <w:szCs w:val="21"/>
              </w:rPr>
              <w:t>1、</w:t>
            </w:r>
            <w:r>
              <w:rPr>
                <w:rFonts w:hint="eastAsia"/>
                <w:color w:val="000000"/>
                <w:sz w:val="21"/>
                <w:szCs w:val="21"/>
              </w:rPr>
              <w:t>知道全球人口老龄化的基本概念、特征及趋势。</w:t>
            </w:r>
          </w:p>
          <w:p>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知道老年人口健康特征。</w:t>
            </w:r>
          </w:p>
          <w:p>
            <w:pPr>
              <w:widowControl w:val="0"/>
              <w:snapToGrid w:val="0"/>
              <w:spacing w:line="288" w:lineRule="auto"/>
              <w:jc w:val="left"/>
              <w:rPr>
                <w:color w:val="000000"/>
                <w:sz w:val="21"/>
                <w:szCs w:val="21"/>
              </w:rPr>
            </w:pPr>
            <w:r>
              <w:rPr>
                <w:color w:val="000000"/>
                <w:sz w:val="21"/>
                <w:szCs w:val="21"/>
              </w:rPr>
              <w:t>3、</w:t>
            </w:r>
            <w:r>
              <w:rPr>
                <w:rFonts w:hint="eastAsia"/>
                <w:color w:val="000000"/>
                <w:sz w:val="21"/>
                <w:szCs w:val="21"/>
              </w:rPr>
              <w:t>理解老龄化对全球健康的挑战。</w:t>
            </w:r>
          </w:p>
          <w:p>
            <w:pPr>
              <w:widowControl w:val="0"/>
              <w:snapToGrid w:val="0"/>
              <w:spacing w:line="288" w:lineRule="auto"/>
              <w:jc w:val="left"/>
              <w:rPr>
                <w:sz w:val="21"/>
                <w:szCs w:val="21"/>
              </w:rPr>
            </w:pPr>
            <w:r>
              <w:rPr>
                <w:rFonts w:hint="eastAsia"/>
                <w:b/>
                <w:bCs/>
                <w:sz w:val="21"/>
                <w:szCs w:val="21"/>
              </w:rPr>
              <w:t>教学难点</w:t>
            </w:r>
            <w:r>
              <w:rPr>
                <w:rFonts w:hint="eastAsia"/>
                <w:sz w:val="21"/>
                <w:szCs w:val="21"/>
              </w:rPr>
              <w:t>：</w:t>
            </w:r>
          </w:p>
          <w:p>
            <w:pPr>
              <w:widowControl w:val="0"/>
              <w:snapToGrid w:val="0"/>
              <w:spacing w:line="288" w:lineRule="auto"/>
              <w:jc w:val="left"/>
              <w:rPr>
                <w:color w:val="000000"/>
                <w:sz w:val="21"/>
                <w:szCs w:val="21"/>
              </w:rPr>
            </w:pPr>
            <w:r>
              <w:rPr>
                <w:rFonts w:hint="eastAsia"/>
                <w:color w:val="000000"/>
                <w:sz w:val="21"/>
                <w:szCs w:val="21"/>
              </w:rPr>
              <w:t>1、健康老龄化全球策略</w:t>
            </w:r>
          </w:p>
          <w:p>
            <w:pPr>
              <w:widowControl w:val="0"/>
              <w:snapToGrid w:val="0"/>
              <w:spacing w:line="288" w:lineRule="auto"/>
              <w:jc w:val="left"/>
              <w:rPr>
                <w:color w:val="000000"/>
                <w:sz w:val="21"/>
                <w:szCs w:val="21"/>
              </w:rPr>
            </w:pPr>
            <w:r>
              <w:rPr>
                <w:rFonts w:hint="eastAsia"/>
                <w:color w:val="000000"/>
                <w:sz w:val="21"/>
                <w:szCs w:val="21"/>
              </w:rPr>
              <w:t>2、健康老龄化全球治理</w:t>
            </w:r>
          </w:p>
          <w:p>
            <w:pPr>
              <w:widowControl w:val="0"/>
              <w:snapToGrid w:val="0"/>
              <w:spacing w:line="288" w:lineRule="auto"/>
              <w:jc w:val="left"/>
              <w:rPr>
                <w:b/>
                <w:bCs/>
                <w:sz w:val="21"/>
                <w:szCs w:val="21"/>
              </w:rPr>
            </w:pPr>
            <w:r>
              <w:rPr>
                <w:rFonts w:hint="eastAsia"/>
                <w:b/>
                <w:bCs/>
                <w:sz w:val="21"/>
                <w:szCs w:val="21"/>
              </w:rPr>
              <w:t>能力要求：</w:t>
            </w:r>
          </w:p>
          <w:p>
            <w:pPr>
              <w:pStyle w:val="16"/>
            </w:pPr>
            <w:r>
              <w:rPr>
                <w:rFonts w:hint="eastAsia"/>
              </w:rPr>
              <w:t>在了解国际社会关于全球健康老龄化的策略与行动措施，形成帮助老年人拥有健康、积极参与社会发展是一种社会发展需要而不是奢求的认识。</w:t>
            </w:r>
          </w:p>
          <w:p>
            <w:pPr>
              <w:pStyle w:val="16"/>
              <w:rPr>
                <w:rFonts w:hint="eastAsia"/>
              </w:rPr>
            </w:pPr>
          </w:p>
          <w:p>
            <w:pPr>
              <w:pStyle w:val="16"/>
            </w:pPr>
            <w:r>
              <w:rPr>
                <w:rFonts w:hint="eastAsia"/>
              </w:rPr>
              <w:t xml:space="preserve">第二章 </w:t>
            </w:r>
            <w:r>
              <w:t xml:space="preserve"> </w:t>
            </w:r>
            <w:r>
              <w:rPr>
                <w:rFonts w:hint="eastAsia"/>
              </w:rPr>
              <w:t>老年健康特征</w:t>
            </w:r>
          </w:p>
          <w:p>
            <w:pPr>
              <w:widowControl w:val="0"/>
              <w:snapToGrid w:val="0"/>
              <w:spacing w:line="288" w:lineRule="auto"/>
              <w:jc w:val="left"/>
              <w:rPr>
                <w:b/>
                <w:sz w:val="21"/>
                <w:szCs w:val="21"/>
              </w:rPr>
            </w:pPr>
            <w:r>
              <w:rPr>
                <w:rFonts w:hint="eastAsia"/>
                <w:b/>
                <w:sz w:val="21"/>
                <w:szCs w:val="21"/>
              </w:rPr>
              <w:t>知识点：</w:t>
            </w:r>
          </w:p>
          <w:p>
            <w:pPr>
              <w:widowControl w:val="0"/>
              <w:snapToGrid w:val="0"/>
              <w:spacing w:line="288" w:lineRule="auto"/>
              <w:jc w:val="left"/>
              <w:rPr>
                <w:color w:val="000000"/>
                <w:sz w:val="21"/>
                <w:szCs w:val="21"/>
              </w:rPr>
            </w:pPr>
            <w:r>
              <w:rPr>
                <w:rFonts w:hint="eastAsia"/>
                <w:color w:val="000000"/>
                <w:sz w:val="21"/>
                <w:szCs w:val="21"/>
              </w:rPr>
              <w:t>1、知道老年期的外观与生理特征。</w:t>
            </w:r>
          </w:p>
          <w:p>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知道老年期的心理特征。</w:t>
            </w:r>
          </w:p>
          <w:p>
            <w:pPr>
              <w:widowControl w:val="0"/>
              <w:snapToGrid w:val="0"/>
              <w:spacing w:line="288" w:lineRule="auto"/>
              <w:jc w:val="left"/>
              <w:rPr>
                <w:color w:val="000000"/>
                <w:sz w:val="21"/>
                <w:szCs w:val="21"/>
              </w:rPr>
            </w:pPr>
            <w:r>
              <w:rPr>
                <w:color w:val="000000"/>
                <w:sz w:val="21"/>
                <w:szCs w:val="21"/>
              </w:rPr>
              <w:t>3、</w:t>
            </w:r>
            <w:r>
              <w:rPr>
                <w:rFonts w:hint="eastAsia"/>
                <w:color w:val="000000"/>
                <w:sz w:val="21"/>
                <w:szCs w:val="21"/>
              </w:rPr>
              <w:t>理解胚胎期、儿童期、青年期和中年期的生理心理特征及与老年健康的关系。</w:t>
            </w:r>
          </w:p>
          <w:p>
            <w:pPr>
              <w:widowControl w:val="0"/>
              <w:snapToGrid w:val="0"/>
              <w:spacing w:line="288" w:lineRule="auto"/>
              <w:jc w:val="left"/>
              <w:rPr>
                <w:color w:val="000000"/>
                <w:sz w:val="21"/>
                <w:szCs w:val="21"/>
              </w:rPr>
            </w:pPr>
            <w:r>
              <w:rPr>
                <w:rFonts w:hint="eastAsia"/>
                <w:b/>
                <w:bCs/>
                <w:color w:val="000000"/>
                <w:sz w:val="21"/>
                <w:szCs w:val="21"/>
              </w:rPr>
              <w:t>教学难点</w:t>
            </w:r>
            <w:r>
              <w:rPr>
                <w:rFonts w:hint="eastAsia"/>
                <w:color w:val="000000"/>
                <w:sz w:val="21"/>
                <w:szCs w:val="21"/>
              </w:rPr>
              <w:t>：</w:t>
            </w:r>
          </w:p>
          <w:p>
            <w:pPr>
              <w:widowControl w:val="0"/>
              <w:snapToGrid w:val="0"/>
              <w:spacing w:line="288" w:lineRule="auto"/>
              <w:jc w:val="left"/>
              <w:rPr>
                <w:color w:val="000000"/>
                <w:sz w:val="21"/>
                <w:szCs w:val="21"/>
              </w:rPr>
            </w:pPr>
            <w:r>
              <w:rPr>
                <w:rFonts w:hint="eastAsia"/>
                <w:color w:val="000000"/>
                <w:sz w:val="21"/>
                <w:szCs w:val="21"/>
              </w:rPr>
              <w:t>人的生命历程与老龄化</w:t>
            </w:r>
          </w:p>
          <w:p>
            <w:pPr>
              <w:widowControl w:val="0"/>
              <w:snapToGrid w:val="0"/>
              <w:spacing w:line="288" w:lineRule="auto"/>
              <w:jc w:val="left"/>
              <w:rPr>
                <w:b/>
                <w:bCs/>
                <w:color w:val="000000"/>
                <w:sz w:val="21"/>
                <w:szCs w:val="21"/>
              </w:rPr>
            </w:pPr>
            <w:r>
              <w:rPr>
                <w:rFonts w:hint="eastAsia"/>
                <w:b/>
                <w:bCs/>
                <w:color w:val="000000"/>
                <w:sz w:val="21"/>
                <w:szCs w:val="21"/>
              </w:rPr>
              <w:t>能力要求：</w:t>
            </w:r>
          </w:p>
          <w:p>
            <w:pPr>
              <w:widowControl w:val="0"/>
              <w:snapToGrid w:val="0"/>
              <w:spacing w:line="288" w:lineRule="auto"/>
              <w:jc w:val="left"/>
              <w:rPr>
                <w:color w:val="000000"/>
                <w:sz w:val="21"/>
                <w:szCs w:val="21"/>
              </w:rPr>
            </w:pPr>
            <w:r>
              <w:rPr>
                <w:rFonts w:hint="eastAsia"/>
                <w:color w:val="000000"/>
                <w:sz w:val="21"/>
                <w:szCs w:val="21"/>
              </w:rPr>
              <w:t>能运用本章知识，识别老年期的生理和心理特征。</w:t>
            </w:r>
          </w:p>
          <w:p>
            <w:pPr>
              <w:widowControl w:val="0"/>
              <w:snapToGrid w:val="0"/>
              <w:spacing w:line="288" w:lineRule="auto"/>
              <w:jc w:val="left"/>
              <w:rPr>
                <w:color w:val="000000"/>
                <w:sz w:val="21"/>
                <w:szCs w:val="21"/>
              </w:rPr>
            </w:pPr>
            <w:r>
              <w:rPr>
                <w:rFonts w:hint="eastAsia"/>
                <w:color w:val="000000"/>
                <w:sz w:val="21"/>
                <w:szCs w:val="21"/>
              </w:rPr>
              <w:t xml:space="preserve">能运用本章知识，分析生命各阶段与老年期健康的关系。 </w:t>
            </w:r>
          </w:p>
          <w:p>
            <w:pPr>
              <w:widowControl w:val="0"/>
              <w:snapToGrid w:val="0"/>
              <w:spacing w:line="288" w:lineRule="auto"/>
              <w:jc w:val="left"/>
              <w:rPr>
                <w:rFonts w:hint="eastAsia"/>
                <w:color w:val="000000"/>
                <w:sz w:val="21"/>
                <w:szCs w:val="21"/>
              </w:rPr>
            </w:pPr>
          </w:p>
          <w:p>
            <w:pPr>
              <w:widowControl w:val="0"/>
              <w:snapToGrid w:val="0"/>
              <w:spacing w:line="288" w:lineRule="auto"/>
              <w:jc w:val="left"/>
              <w:rPr>
                <w:b/>
                <w:bCs/>
                <w:color w:val="000000"/>
                <w:sz w:val="21"/>
                <w:szCs w:val="21"/>
              </w:rPr>
            </w:pPr>
            <w:r>
              <w:rPr>
                <w:rFonts w:hint="eastAsia"/>
                <w:b/>
                <w:bCs/>
                <w:color w:val="000000"/>
                <w:sz w:val="21"/>
                <w:szCs w:val="21"/>
              </w:rPr>
              <w:t xml:space="preserve">第三章 </w:t>
            </w:r>
            <w:r>
              <w:rPr>
                <w:b/>
                <w:bCs/>
                <w:color w:val="000000"/>
                <w:sz w:val="21"/>
                <w:szCs w:val="21"/>
              </w:rPr>
              <w:t xml:space="preserve"> </w:t>
            </w:r>
            <w:r>
              <w:rPr>
                <w:rFonts w:hint="eastAsia"/>
                <w:b/>
                <w:bCs/>
                <w:color w:val="000000"/>
                <w:sz w:val="21"/>
                <w:szCs w:val="21"/>
              </w:rPr>
              <w:t>衰老与功能障碍</w:t>
            </w:r>
          </w:p>
          <w:p>
            <w:pPr>
              <w:widowControl w:val="0"/>
              <w:snapToGrid w:val="0"/>
              <w:spacing w:line="288" w:lineRule="auto"/>
              <w:jc w:val="left"/>
              <w:rPr>
                <w:b/>
                <w:sz w:val="21"/>
                <w:szCs w:val="21"/>
              </w:rPr>
            </w:pPr>
            <w:r>
              <w:rPr>
                <w:rFonts w:hint="eastAsia"/>
                <w:b/>
                <w:sz w:val="21"/>
                <w:szCs w:val="21"/>
              </w:rPr>
              <w:t>知识点：</w:t>
            </w:r>
          </w:p>
          <w:p>
            <w:pPr>
              <w:widowControl w:val="0"/>
              <w:snapToGrid w:val="0"/>
              <w:spacing w:line="288" w:lineRule="auto"/>
              <w:jc w:val="left"/>
              <w:rPr>
                <w:color w:val="000000"/>
                <w:sz w:val="21"/>
                <w:szCs w:val="21"/>
              </w:rPr>
            </w:pPr>
            <w:r>
              <w:rPr>
                <w:rFonts w:hint="eastAsia"/>
                <w:color w:val="000000"/>
                <w:sz w:val="21"/>
                <w:szCs w:val="21"/>
              </w:rPr>
              <w:t>1、知道衰老和老年认知障碍的定义和分类。</w:t>
            </w:r>
          </w:p>
          <w:p>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理解衰老和认知障碍的发生机制和主要学说。</w:t>
            </w:r>
          </w:p>
          <w:p>
            <w:pPr>
              <w:widowControl w:val="0"/>
              <w:snapToGrid w:val="0"/>
              <w:spacing w:line="288" w:lineRule="auto"/>
              <w:jc w:val="left"/>
              <w:rPr>
                <w:color w:val="000000"/>
                <w:sz w:val="21"/>
                <w:szCs w:val="21"/>
              </w:rPr>
            </w:pPr>
            <w:r>
              <w:rPr>
                <w:color w:val="000000"/>
                <w:sz w:val="21"/>
                <w:szCs w:val="21"/>
              </w:rPr>
              <w:t>3、</w:t>
            </w:r>
            <w:r>
              <w:rPr>
                <w:rFonts w:hint="eastAsia"/>
                <w:color w:val="000000"/>
                <w:sz w:val="21"/>
                <w:szCs w:val="21"/>
              </w:rPr>
              <w:t>理解衰老的影响因素和相关生理功能障碍。</w:t>
            </w:r>
          </w:p>
          <w:p>
            <w:pPr>
              <w:widowControl w:val="0"/>
              <w:snapToGrid w:val="0"/>
              <w:spacing w:line="288" w:lineRule="auto"/>
              <w:jc w:val="left"/>
              <w:rPr>
                <w:color w:val="000000"/>
                <w:sz w:val="21"/>
                <w:szCs w:val="21"/>
              </w:rPr>
            </w:pPr>
            <w:r>
              <w:rPr>
                <w:rFonts w:hint="eastAsia"/>
                <w:b/>
                <w:bCs/>
                <w:color w:val="000000"/>
                <w:sz w:val="21"/>
                <w:szCs w:val="21"/>
              </w:rPr>
              <w:t>教学难点</w:t>
            </w:r>
            <w:r>
              <w:rPr>
                <w:rFonts w:hint="eastAsia"/>
                <w:color w:val="000000"/>
                <w:sz w:val="21"/>
                <w:szCs w:val="21"/>
              </w:rPr>
              <w:t>：</w:t>
            </w:r>
          </w:p>
          <w:p>
            <w:pPr>
              <w:widowControl w:val="0"/>
              <w:snapToGrid w:val="0"/>
              <w:spacing w:line="288" w:lineRule="auto"/>
              <w:jc w:val="left"/>
              <w:rPr>
                <w:color w:val="000000"/>
                <w:sz w:val="21"/>
                <w:szCs w:val="21"/>
              </w:rPr>
            </w:pPr>
            <w:r>
              <w:rPr>
                <w:rFonts w:hint="eastAsia"/>
                <w:color w:val="000000"/>
                <w:sz w:val="21"/>
                <w:szCs w:val="21"/>
              </w:rPr>
              <w:t>1、衰老机制</w:t>
            </w:r>
          </w:p>
          <w:p>
            <w:pPr>
              <w:widowControl w:val="0"/>
              <w:snapToGrid w:val="0"/>
              <w:spacing w:line="288" w:lineRule="auto"/>
              <w:jc w:val="left"/>
              <w:rPr>
                <w:color w:val="000000"/>
                <w:sz w:val="21"/>
                <w:szCs w:val="21"/>
              </w:rPr>
            </w:pPr>
            <w:r>
              <w:rPr>
                <w:rFonts w:hint="eastAsia"/>
                <w:color w:val="000000"/>
                <w:sz w:val="21"/>
                <w:szCs w:val="21"/>
              </w:rPr>
              <w:t>2、老年认知障碍的形成机制</w:t>
            </w:r>
          </w:p>
          <w:p>
            <w:pPr>
              <w:widowControl w:val="0"/>
              <w:snapToGrid w:val="0"/>
              <w:spacing w:line="288" w:lineRule="auto"/>
              <w:jc w:val="left"/>
              <w:rPr>
                <w:b/>
                <w:bCs/>
                <w:color w:val="000000"/>
                <w:sz w:val="21"/>
                <w:szCs w:val="21"/>
              </w:rPr>
            </w:pPr>
            <w:r>
              <w:rPr>
                <w:rFonts w:hint="eastAsia"/>
                <w:b/>
                <w:bCs/>
                <w:color w:val="000000"/>
                <w:sz w:val="21"/>
                <w:szCs w:val="21"/>
              </w:rPr>
              <w:t>能力要求：</w:t>
            </w:r>
          </w:p>
          <w:p>
            <w:pPr>
              <w:widowControl w:val="0"/>
              <w:snapToGrid w:val="0"/>
              <w:spacing w:line="288" w:lineRule="auto"/>
              <w:jc w:val="left"/>
              <w:rPr>
                <w:color w:val="000000"/>
                <w:sz w:val="21"/>
                <w:szCs w:val="21"/>
              </w:rPr>
            </w:pPr>
            <w:r>
              <w:rPr>
                <w:rFonts w:hint="eastAsia"/>
                <w:color w:val="000000"/>
                <w:sz w:val="21"/>
                <w:szCs w:val="21"/>
              </w:rPr>
              <w:t>能运用本章知识，采取措施减缓衰老所带来的老年生理功能障碍。</w:t>
            </w:r>
          </w:p>
          <w:p>
            <w:pPr>
              <w:widowControl w:val="0"/>
              <w:snapToGrid w:val="0"/>
              <w:spacing w:line="288" w:lineRule="auto"/>
              <w:jc w:val="left"/>
              <w:rPr>
                <w:color w:val="000000"/>
                <w:sz w:val="21"/>
                <w:szCs w:val="21"/>
              </w:rPr>
            </w:pPr>
            <w:r>
              <w:rPr>
                <w:rFonts w:hint="eastAsia"/>
                <w:color w:val="000000"/>
                <w:sz w:val="21"/>
                <w:szCs w:val="21"/>
              </w:rPr>
              <w:t>能运用本章知识，鉴别正常老化与老年认知障碍。</w:t>
            </w:r>
          </w:p>
          <w:p>
            <w:pPr>
              <w:widowControl w:val="0"/>
              <w:snapToGrid w:val="0"/>
              <w:spacing w:line="288" w:lineRule="auto"/>
              <w:jc w:val="left"/>
              <w:rPr>
                <w:rFonts w:hint="eastAsia"/>
                <w:color w:val="000000"/>
                <w:sz w:val="21"/>
                <w:szCs w:val="21"/>
              </w:rPr>
            </w:pPr>
          </w:p>
          <w:p>
            <w:pPr>
              <w:widowControl w:val="0"/>
              <w:tabs>
                <w:tab w:val="left" w:pos="312"/>
              </w:tabs>
              <w:snapToGrid w:val="0"/>
              <w:spacing w:line="288" w:lineRule="auto"/>
              <w:jc w:val="left"/>
              <w:rPr>
                <w:b/>
                <w:bCs/>
                <w:color w:val="000000"/>
                <w:sz w:val="21"/>
                <w:szCs w:val="21"/>
              </w:rPr>
            </w:pPr>
            <w:r>
              <w:rPr>
                <w:b/>
                <w:bCs/>
                <w:color w:val="000000"/>
                <w:sz w:val="21"/>
                <w:szCs w:val="21"/>
              </w:rPr>
              <w:t>第四章</w:t>
            </w:r>
            <w:r>
              <w:rPr>
                <w:rFonts w:hint="eastAsia"/>
                <w:b/>
                <w:bCs/>
                <w:color w:val="000000"/>
                <w:sz w:val="21"/>
                <w:szCs w:val="21"/>
              </w:rPr>
              <w:t xml:space="preserve"> </w:t>
            </w:r>
            <w:r>
              <w:rPr>
                <w:b/>
                <w:bCs/>
                <w:color w:val="000000"/>
                <w:sz w:val="21"/>
                <w:szCs w:val="21"/>
              </w:rPr>
              <w:t xml:space="preserve"> </w:t>
            </w:r>
            <w:r>
              <w:rPr>
                <w:rFonts w:hint="eastAsia"/>
                <w:b/>
                <w:bCs/>
                <w:color w:val="000000"/>
                <w:sz w:val="21"/>
                <w:szCs w:val="21"/>
              </w:rPr>
              <w:t>老年疾病流行特征</w:t>
            </w:r>
          </w:p>
          <w:p>
            <w:pPr>
              <w:widowControl w:val="0"/>
              <w:snapToGrid w:val="0"/>
              <w:spacing w:line="288" w:lineRule="auto"/>
              <w:jc w:val="left"/>
              <w:rPr>
                <w:color w:val="000000"/>
                <w:sz w:val="21"/>
                <w:szCs w:val="21"/>
              </w:rPr>
            </w:pPr>
            <w:r>
              <w:rPr>
                <w:rFonts w:hint="eastAsia"/>
                <w:b/>
                <w:bCs/>
                <w:color w:val="000000"/>
                <w:sz w:val="21"/>
                <w:szCs w:val="21"/>
              </w:rPr>
              <w:t>知识点</w:t>
            </w:r>
            <w:r>
              <w:rPr>
                <w:rFonts w:hint="eastAsia"/>
                <w:color w:val="000000"/>
                <w:sz w:val="21"/>
                <w:szCs w:val="21"/>
              </w:rPr>
              <w:t>：</w:t>
            </w:r>
          </w:p>
          <w:p>
            <w:pPr>
              <w:widowControl w:val="0"/>
              <w:snapToGrid w:val="0"/>
              <w:spacing w:line="288" w:lineRule="auto"/>
              <w:jc w:val="left"/>
              <w:rPr>
                <w:color w:val="000000"/>
                <w:sz w:val="21"/>
                <w:szCs w:val="21"/>
              </w:rPr>
            </w:pPr>
            <w:r>
              <w:rPr>
                <w:rFonts w:hint="eastAsia"/>
                <w:color w:val="000000"/>
                <w:sz w:val="21"/>
                <w:szCs w:val="21"/>
              </w:rPr>
              <w:t>1、知道老年人群的疾病模式和老年疾病的流行特征。</w:t>
            </w:r>
          </w:p>
          <w:p>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知道老年疾病的预防策略和措施。</w:t>
            </w:r>
          </w:p>
          <w:p>
            <w:pPr>
              <w:widowControl w:val="0"/>
              <w:snapToGrid w:val="0"/>
              <w:spacing w:line="288" w:lineRule="auto"/>
              <w:jc w:val="left"/>
              <w:rPr>
                <w:color w:val="000000"/>
                <w:sz w:val="21"/>
                <w:szCs w:val="21"/>
              </w:rPr>
            </w:pPr>
            <w:r>
              <w:rPr>
                <w:color w:val="000000"/>
                <w:sz w:val="21"/>
                <w:szCs w:val="21"/>
              </w:rPr>
              <w:t>3、</w:t>
            </w:r>
            <w:r>
              <w:rPr>
                <w:rFonts w:hint="eastAsia"/>
                <w:color w:val="000000"/>
                <w:sz w:val="21"/>
                <w:szCs w:val="21"/>
              </w:rPr>
              <w:t>理解老年疾病的特点和影响因素。</w:t>
            </w:r>
          </w:p>
          <w:p>
            <w:pPr>
              <w:widowControl w:val="0"/>
              <w:snapToGrid w:val="0"/>
              <w:spacing w:line="288" w:lineRule="auto"/>
              <w:jc w:val="left"/>
              <w:rPr>
                <w:b/>
                <w:bCs/>
                <w:color w:val="000000"/>
                <w:sz w:val="21"/>
                <w:szCs w:val="21"/>
              </w:rPr>
            </w:pPr>
            <w:r>
              <w:rPr>
                <w:rFonts w:hint="eastAsia"/>
                <w:b/>
                <w:bCs/>
                <w:color w:val="000000"/>
                <w:sz w:val="21"/>
                <w:szCs w:val="21"/>
              </w:rPr>
              <w:t>教学难点：</w:t>
            </w:r>
          </w:p>
          <w:p>
            <w:pPr>
              <w:widowControl w:val="0"/>
              <w:snapToGrid w:val="0"/>
              <w:spacing w:line="288" w:lineRule="auto"/>
              <w:jc w:val="left"/>
              <w:rPr>
                <w:color w:val="000000"/>
                <w:sz w:val="21"/>
                <w:szCs w:val="21"/>
              </w:rPr>
            </w:pPr>
            <w:r>
              <w:rPr>
                <w:rFonts w:hint="eastAsia"/>
                <w:color w:val="000000"/>
                <w:sz w:val="21"/>
                <w:szCs w:val="21"/>
              </w:rPr>
              <w:t>1、老年人群疾病流行特点</w:t>
            </w:r>
          </w:p>
          <w:p>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老年疾病预防策略</w:t>
            </w:r>
          </w:p>
          <w:p>
            <w:pPr>
              <w:widowControl w:val="0"/>
              <w:snapToGrid w:val="0"/>
              <w:spacing w:line="288" w:lineRule="auto"/>
              <w:jc w:val="left"/>
              <w:rPr>
                <w:b/>
                <w:bCs/>
                <w:color w:val="000000"/>
                <w:sz w:val="21"/>
                <w:szCs w:val="21"/>
              </w:rPr>
            </w:pPr>
            <w:r>
              <w:rPr>
                <w:rFonts w:hint="eastAsia"/>
                <w:b/>
                <w:bCs/>
                <w:color w:val="000000"/>
                <w:sz w:val="21"/>
                <w:szCs w:val="21"/>
              </w:rPr>
              <w:t>能力要求：</w:t>
            </w:r>
          </w:p>
          <w:p>
            <w:pPr>
              <w:widowControl w:val="0"/>
              <w:snapToGrid w:val="0"/>
              <w:spacing w:line="288" w:lineRule="auto"/>
              <w:jc w:val="left"/>
              <w:rPr>
                <w:color w:val="000000"/>
                <w:sz w:val="21"/>
                <w:szCs w:val="21"/>
              </w:rPr>
            </w:pPr>
            <w:r>
              <w:rPr>
                <w:rFonts w:hint="eastAsia"/>
                <w:color w:val="000000"/>
                <w:sz w:val="21"/>
                <w:szCs w:val="21"/>
              </w:rPr>
              <w:t>能运用本章知识，采取相应的策略和措施对老年疾病进行预防和控制。</w:t>
            </w:r>
          </w:p>
          <w:p>
            <w:pPr>
              <w:widowControl w:val="0"/>
              <w:snapToGrid w:val="0"/>
              <w:spacing w:line="288" w:lineRule="auto"/>
              <w:jc w:val="left"/>
              <w:rPr>
                <w:rFonts w:hint="eastAsia"/>
                <w:color w:val="000000"/>
                <w:sz w:val="21"/>
                <w:szCs w:val="21"/>
              </w:rPr>
            </w:pPr>
          </w:p>
          <w:p>
            <w:pPr>
              <w:widowControl w:val="0"/>
              <w:tabs>
                <w:tab w:val="left" w:pos="312"/>
              </w:tabs>
              <w:snapToGrid w:val="0"/>
              <w:spacing w:line="288" w:lineRule="auto"/>
              <w:jc w:val="left"/>
              <w:rPr>
                <w:b/>
                <w:bCs/>
                <w:color w:val="000000"/>
                <w:sz w:val="21"/>
                <w:szCs w:val="21"/>
              </w:rPr>
            </w:pPr>
            <w:r>
              <w:rPr>
                <w:b/>
                <w:bCs/>
                <w:color w:val="000000"/>
                <w:sz w:val="21"/>
                <w:szCs w:val="21"/>
              </w:rPr>
              <w:t>第五章</w:t>
            </w:r>
            <w:r>
              <w:rPr>
                <w:rFonts w:hint="eastAsia"/>
                <w:b/>
                <w:bCs/>
                <w:color w:val="000000"/>
                <w:sz w:val="21"/>
                <w:szCs w:val="21"/>
              </w:rPr>
              <w:t xml:space="preserve"> </w:t>
            </w:r>
            <w:r>
              <w:rPr>
                <w:b/>
                <w:bCs/>
                <w:color w:val="000000"/>
                <w:sz w:val="21"/>
                <w:szCs w:val="21"/>
              </w:rPr>
              <w:t xml:space="preserve"> </w:t>
            </w:r>
            <w:r>
              <w:rPr>
                <w:rFonts w:hint="eastAsia"/>
                <w:b/>
                <w:bCs/>
                <w:color w:val="000000"/>
                <w:sz w:val="21"/>
                <w:szCs w:val="21"/>
              </w:rPr>
              <w:t>老年健康测评</w:t>
            </w:r>
          </w:p>
          <w:p>
            <w:pPr>
              <w:widowControl w:val="0"/>
              <w:snapToGrid w:val="0"/>
              <w:spacing w:line="288" w:lineRule="auto"/>
              <w:jc w:val="left"/>
              <w:rPr>
                <w:b/>
                <w:bCs/>
                <w:color w:val="000000"/>
                <w:sz w:val="21"/>
                <w:szCs w:val="21"/>
              </w:rPr>
            </w:pPr>
            <w:r>
              <w:rPr>
                <w:rFonts w:hint="eastAsia"/>
                <w:b/>
                <w:bCs/>
                <w:color w:val="000000"/>
                <w:sz w:val="21"/>
                <w:szCs w:val="21"/>
              </w:rPr>
              <w:t>知识点：</w:t>
            </w:r>
          </w:p>
          <w:p>
            <w:pPr>
              <w:widowControl w:val="0"/>
              <w:snapToGrid w:val="0"/>
              <w:spacing w:line="288" w:lineRule="auto"/>
              <w:jc w:val="left"/>
              <w:rPr>
                <w:color w:val="000000"/>
                <w:sz w:val="21"/>
                <w:szCs w:val="21"/>
              </w:rPr>
            </w:pPr>
            <w:r>
              <w:rPr>
                <w:rFonts w:hint="eastAsia"/>
                <w:b/>
                <w:bCs/>
                <w:color w:val="000000"/>
                <w:sz w:val="21"/>
                <w:szCs w:val="21"/>
              </w:rPr>
              <w:t>1、</w:t>
            </w:r>
            <w:r>
              <w:rPr>
                <w:rFonts w:hint="eastAsia"/>
                <w:color w:val="000000"/>
                <w:sz w:val="21"/>
                <w:szCs w:val="21"/>
              </w:rPr>
              <w:t>知道老年健康测评常用指标的测量方法、优缺点、适应范围及其结果解释。</w:t>
            </w:r>
          </w:p>
          <w:p>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知道老年健康测量量表的计分方法和注意事项。</w:t>
            </w:r>
          </w:p>
          <w:p>
            <w:pPr>
              <w:widowControl w:val="0"/>
              <w:snapToGrid w:val="0"/>
              <w:spacing w:line="288" w:lineRule="auto"/>
              <w:jc w:val="left"/>
              <w:rPr>
                <w:color w:val="000000"/>
                <w:sz w:val="21"/>
                <w:szCs w:val="21"/>
              </w:rPr>
            </w:pPr>
            <w:r>
              <w:rPr>
                <w:color w:val="000000"/>
                <w:sz w:val="21"/>
                <w:szCs w:val="21"/>
              </w:rPr>
              <w:t>3、</w:t>
            </w:r>
            <w:r>
              <w:rPr>
                <w:rFonts w:hint="eastAsia"/>
                <w:color w:val="000000"/>
                <w:sz w:val="21"/>
                <w:szCs w:val="21"/>
              </w:rPr>
              <w:t>理解老年人综合健康评估的基本内容。</w:t>
            </w:r>
          </w:p>
          <w:p>
            <w:pPr>
              <w:widowControl w:val="0"/>
              <w:snapToGrid w:val="0"/>
              <w:spacing w:line="288" w:lineRule="auto"/>
              <w:jc w:val="left"/>
              <w:rPr>
                <w:b/>
                <w:bCs/>
                <w:color w:val="000000"/>
                <w:sz w:val="21"/>
                <w:szCs w:val="21"/>
              </w:rPr>
            </w:pPr>
            <w:r>
              <w:rPr>
                <w:rFonts w:hint="eastAsia"/>
                <w:b/>
                <w:bCs/>
                <w:color w:val="000000"/>
                <w:sz w:val="21"/>
                <w:szCs w:val="21"/>
              </w:rPr>
              <w:t>教学难点：</w:t>
            </w:r>
          </w:p>
          <w:p>
            <w:pPr>
              <w:widowControl w:val="0"/>
              <w:snapToGrid w:val="0"/>
              <w:spacing w:line="288" w:lineRule="auto"/>
              <w:jc w:val="left"/>
              <w:rPr>
                <w:color w:val="000000"/>
                <w:sz w:val="21"/>
                <w:szCs w:val="21"/>
              </w:rPr>
            </w:pPr>
            <w:r>
              <w:rPr>
                <w:rFonts w:hint="eastAsia"/>
                <w:color w:val="000000"/>
                <w:sz w:val="21"/>
                <w:szCs w:val="21"/>
              </w:rPr>
              <w:t>老年心理状况的评价</w:t>
            </w:r>
          </w:p>
          <w:p>
            <w:pPr>
              <w:widowControl w:val="0"/>
              <w:snapToGrid w:val="0"/>
              <w:spacing w:line="288" w:lineRule="auto"/>
              <w:jc w:val="left"/>
              <w:rPr>
                <w:color w:val="000000"/>
                <w:sz w:val="21"/>
                <w:szCs w:val="21"/>
              </w:rPr>
            </w:pPr>
            <w:r>
              <w:rPr>
                <w:rFonts w:hint="eastAsia"/>
                <w:color w:val="000000"/>
                <w:sz w:val="21"/>
                <w:szCs w:val="21"/>
              </w:rPr>
              <w:t>老年健康测量的注意事项</w:t>
            </w:r>
          </w:p>
          <w:p>
            <w:pPr>
              <w:widowControl w:val="0"/>
              <w:snapToGrid w:val="0"/>
              <w:spacing w:line="288" w:lineRule="auto"/>
              <w:jc w:val="left"/>
              <w:rPr>
                <w:b/>
                <w:bCs/>
                <w:color w:val="000000"/>
                <w:sz w:val="21"/>
                <w:szCs w:val="21"/>
              </w:rPr>
            </w:pPr>
            <w:r>
              <w:rPr>
                <w:rFonts w:hint="eastAsia"/>
                <w:b/>
                <w:bCs/>
                <w:color w:val="000000"/>
                <w:sz w:val="21"/>
                <w:szCs w:val="21"/>
              </w:rPr>
              <w:t>能力要求：</w:t>
            </w:r>
          </w:p>
          <w:p>
            <w:pPr>
              <w:widowControl w:val="0"/>
              <w:snapToGrid w:val="0"/>
              <w:spacing w:line="288" w:lineRule="auto"/>
              <w:jc w:val="left"/>
              <w:rPr>
                <w:color w:val="000000"/>
                <w:sz w:val="21"/>
                <w:szCs w:val="21"/>
              </w:rPr>
            </w:pPr>
            <w:r>
              <w:rPr>
                <w:rFonts w:hint="eastAsia"/>
                <w:color w:val="000000"/>
                <w:sz w:val="21"/>
                <w:szCs w:val="21"/>
              </w:rPr>
              <w:t>能运用本章知识，为老年人进行健康相关研究。</w:t>
            </w:r>
          </w:p>
          <w:p>
            <w:pPr>
              <w:widowControl w:val="0"/>
              <w:snapToGrid w:val="0"/>
              <w:spacing w:line="288" w:lineRule="auto"/>
              <w:jc w:val="left"/>
              <w:rPr>
                <w:rFonts w:hint="eastAsia"/>
                <w:color w:val="000000"/>
                <w:sz w:val="21"/>
                <w:szCs w:val="21"/>
              </w:rPr>
            </w:pPr>
          </w:p>
          <w:p>
            <w:pPr>
              <w:widowControl w:val="0"/>
              <w:tabs>
                <w:tab w:val="left" w:pos="312"/>
              </w:tabs>
              <w:snapToGrid w:val="0"/>
              <w:spacing w:line="288" w:lineRule="auto"/>
              <w:jc w:val="left"/>
              <w:rPr>
                <w:b/>
                <w:bCs/>
                <w:color w:val="000000"/>
                <w:sz w:val="21"/>
                <w:szCs w:val="21"/>
              </w:rPr>
            </w:pPr>
            <w:r>
              <w:rPr>
                <w:b/>
                <w:color w:val="000000"/>
                <w:sz w:val="21"/>
                <w:szCs w:val="21"/>
              </w:rPr>
              <w:t>第六章</w:t>
            </w:r>
            <w:r>
              <w:rPr>
                <w:rFonts w:hint="eastAsia"/>
                <w:b/>
                <w:color w:val="000000"/>
                <w:sz w:val="21"/>
                <w:szCs w:val="21"/>
              </w:rPr>
              <w:t xml:space="preserve"> </w:t>
            </w:r>
            <w:r>
              <w:rPr>
                <w:rFonts w:hint="eastAsia"/>
                <w:b/>
                <w:bCs/>
                <w:color w:val="000000"/>
                <w:sz w:val="21"/>
                <w:szCs w:val="21"/>
              </w:rPr>
              <w:t>全球老年疾病负担</w:t>
            </w:r>
          </w:p>
          <w:p>
            <w:pPr>
              <w:widowControl w:val="0"/>
              <w:snapToGrid w:val="0"/>
              <w:spacing w:line="288" w:lineRule="auto"/>
              <w:jc w:val="left"/>
              <w:rPr>
                <w:b/>
                <w:bCs/>
                <w:color w:val="000000"/>
                <w:sz w:val="21"/>
                <w:szCs w:val="21"/>
              </w:rPr>
            </w:pPr>
            <w:r>
              <w:rPr>
                <w:rFonts w:hint="eastAsia"/>
                <w:b/>
                <w:bCs/>
                <w:color w:val="000000"/>
                <w:sz w:val="21"/>
                <w:szCs w:val="21"/>
              </w:rPr>
              <w:t>知识点:</w:t>
            </w:r>
          </w:p>
          <w:p>
            <w:pPr>
              <w:widowControl w:val="0"/>
              <w:snapToGrid w:val="0"/>
              <w:spacing w:line="288" w:lineRule="auto"/>
              <w:jc w:val="left"/>
              <w:rPr>
                <w:color w:val="000000"/>
                <w:sz w:val="21"/>
                <w:szCs w:val="21"/>
              </w:rPr>
            </w:pPr>
            <w:r>
              <w:rPr>
                <w:rFonts w:hint="eastAsia"/>
                <w:color w:val="000000"/>
                <w:sz w:val="21"/>
                <w:szCs w:val="21"/>
              </w:rPr>
              <w:t>1、知道全球疾病负担，特别是老年疾病负担的基本情况、地区分布、特点和趋势。</w:t>
            </w:r>
          </w:p>
          <w:p>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知道人口老龄化和老年疾病对全球老年疾病负担的影响、老年疾病负担研究对确定全球健康优先领域的意义。</w:t>
            </w:r>
          </w:p>
          <w:p>
            <w:pPr>
              <w:widowControl w:val="0"/>
              <w:snapToGrid w:val="0"/>
              <w:spacing w:line="288" w:lineRule="auto"/>
              <w:jc w:val="left"/>
              <w:rPr>
                <w:color w:val="000000"/>
                <w:sz w:val="21"/>
                <w:szCs w:val="21"/>
              </w:rPr>
            </w:pPr>
            <w:r>
              <w:rPr>
                <w:color w:val="000000"/>
                <w:sz w:val="21"/>
                <w:szCs w:val="21"/>
              </w:rPr>
              <w:t>3、</w:t>
            </w:r>
            <w:r>
              <w:rPr>
                <w:rFonts w:hint="eastAsia"/>
                <w:color w:val="000000"/>
                <w:sz w:val="21"/>
                <w:szCs w:val="21"/>
              </w:rPr>
              <w:t>理解全球疾病负担研究的起源和现状、全球老年疾病负担的内涵。</w:t>
            </w:r>
          </w:p>
          <w:p>
            <w:pPr>
              <w:widowControl w:val="0"/>
              <w:snapToGrid w:val="0"/>
              <w:spacing w:line="288" w:lineRule="auto"/>
              <w:jc w:val="left"/>
              <w:rPr>
                <w:b/>
                <w:bCs/>
                <w:color w:val="000000"/>
                <w:sz w:val="21"/>
                <w:szCs w:val="21"/>
              </w:rPr>
            </w:pPr>
            <w:r>
              <w:rPr>
                <w:rFonts w:hint="eastAsia"/>
                <w:b/>
                <w:bCs/>
                <w:color w:val="000000"/>
                <w:sz w:val="21"/>
                <w:szCs w:val="21"/>
              </w:rPr>
              <w:t>教学难点：</w:t>
            </w:r>
          </w:p>
          <w:p>
            <w:pPr>
              <w:widowControl w:val="0"/>
              <w:snapToGrid w:val="0"/>
              <w:spacing w:line="288" w:lineRule="auto"/>
              <w:jc w:val="left"/>
              <w:rPr>
                <w:color w:val="000000"/>
                <w:sz w:val="21"/>
                <w:szCs w:val="21"/>
              </w:rPr>
            </w:pPr>
            <w:r>
              <w:rPr>
                <w:rFonts w:hint="eastAsia"/>
                <w:color w:val="000000"/>
                <w:sz w:val="21"/>
                <w:szCs w:val="21"/>
              </w:rPr>
              <w:t>1、全球老年疾病负担内涵</w:t>
            </w:r>
          </w:p>
          <w:p>
            <w:pPr>
              <w:widowControl w:val="0"/>
              <w:snapToGrid w:val="0"/>
              <w:spacing w:line="288" w:lineRule="auto"/>
              <w:jc w:val="left"/>
              <w:rPr>
                <w:b/>
                <w:bCs/>
                <w:color w:val="000000"/>
                <w:sz w:val="21"/>
                <w:szCs w:val="21"/>
              </w:rPr>
            </w:pPr>
            <w:r>
              <w:rPr>
                <w:color w:val="000000"/>
                <w:sz w:val="21"/>
                <w:szCs w:val="21"/>
              </w:rPr>
              <w:t>2、</w:t>
            </w:r>
            <w:r>
              <w:rPr>
                <w:rFonts w:hint="eastAsia"/>
                <w:color w:val="000000"/>
                <w:sz w:val="21"/>
                <w:szCs w:val="21"/>
              </w:rPr>
              <w:t>全球老年伤残负担</w:t>
            </w:r>
          </w:p>
          <w:p>
            <w:pPr>
              <w:widowControl w:val="0"/>
              <w:snapToGrid w:val="0"/>
              <w:spacing w:line="288" w:lineRule="auto"/>
              <w:jc w:val="left"/>
              <w:rPr>
                <w:b/>
                <w:bCs/>
                <w:color w:val="000000"/>
                <w:sz w:val="21"/>
                <w:szCs w:val="21"/>
              </w:rPr>
            </w:pPr>
            <w:r>
              <w:rPr>
                <w:rFonts w:hint="eastAsia"/>
                <w:b/>
                <w:bCs/>
                <w:color w:val="000000"/>
                <w:sz w:val="21"/>
                <w:szCs w:val="21"/>
              </w:rPr>
              <w:t>能力要求：</w:t>
            </w:r>
          </w:p>
          <w:p>
            <w:pPr>
              <w:widowControl w:val="0"/>
              <w:snapToGrid w:val="0"/>
              <w:spacing w:line="288" w:lineRule="auto"/>
              <w:jc w:val="left"/>
              <w:rPr>
                <w:color w:val="000000"/>
                <w:sz w:val="21"/>
                <w:szCs w:val="21"/>
              </w:rPr>
            </w:pPr>
            <w:r>
              <w:rPr>
                <w:rFonts w:hint="eastAsia"/>
                <w:color w:val="000000"/>
                <w:sz w:val="21"/>
                <w:szCs w:val="21"/>
              </w:rPr>
              <w:t>能运用本章知识，对不同收入的国家、区域间的差异进行比较分析。</w:t>
            </w:r>
          </w:p>
          <w:p>
            <w:pPr>
              <w:widowControl w:val="0"/>
              <w:snapToGrid w:val="0"/>
              <w:spacing w:line="288" w:lineRule="auto"/>
              <w:jc w:val="left"/>
              <w:rPr>
                <w:rFonts w:hint="eastAsia"/>
                <w:color w:val="000000"/>
                <w:sz w:val="21"/>
                <w:szCs w:val="21"/>
              </w:rPr>
            </w:pPr>
          </w:p>
          <w:p>
            <w:pPr>
              <w:widowControl w:val="0"/>
              <w:tabs>
                <w:tab w:val="left" w:pos="312"/>
              </w:tabs>
              <w:snapToGrid w:val="0"/>
              <w:spacing w:line="288" w:lineRule="auto"/>
              <w:jc w:val="left"/>
              <w:rPr>
                <w:b/>
                <w:bCs/>
                <w:color w:val="000000"/>
                <w:sz w:val="21"/>
                <w:szCs w:val="21"/>
              </w:rPr>
            </w:pPr>
            <w:r>
              <w:rPr>
                <w:b/>
                <w:bCs/>
                <w:color w:val="000000"/>
                <w:sz w:val="21"/>
                <w:szCs w:val="21"/>
              </w:rPr>
              <w:t>第七章</w:t>
            </w:r>
            <w:r>
              <w:rPr>
                <w:rFonts w:hint="eastAsia"/>
                <w:b/>
                <w:bCs/>
                <w:color w:val="000000"/>
                <w:sz w:val="21"/>
                <w:szCs w:val="21"/>
              </w:rPr>
              <w:t xml:space="preserve"> 老年健康全球策略</w:t>
            </w:r>
          </w:p>
          <w:p>
            <w:pPr>
              <w:widowControl w:val="0"/>
              <w:snapToGrid w:val="0"/>
              <w:spacing w:line="288" w:lineRule="auto"/>
              <w:jc w:val="left"/>
              <w:rPr>
                <w:b/>
                <w:bCs/>
                <w:color w:val="000000"/>
                <w:sz w:val="21"/>
                <w:szCs w:val="21"/>
              </w:rPr>
            </w:pPr>
            <w:r>
              <w:rPr>
                <w:rFonts w:hint="eastAsia"/>
                <w:b/>
                <w:bCs/>
                <w:color w:val="000000"/>
                <w:sz w:val="21"/>
                <w:szCs w:val="21"/>
              </w:rPr>
              <w:t>知识点:</w:t>
            </w:r>
          </w:p>
          <w:p>
            <w:pPr>
              <w:widowControl w:val="0"/>
              <w:snapToGrid w:val="0"/>
              <w:spacing w:line="288" w:lineRule="auto"/>
              <w:jc w:val="left"/>
              <w:rPr>
                <w:color w:val="000000"/>
                <w:sz w:val="21"/>
                <w:szCs w:val="21"/>
              </w:rPr>
            </w:pPr>
            <w:r>
              <w:rPr>
                <w:rFonts w:hint="eastAsia"/>
                <w:color w:val="000000"/>
                <w:sz w:val="21"/>
                <w:szCs w:val="21"/>
              </w:rPr>
              <w:t>1、知道健康老龄化、积极老龄化的概念和内涵。</w:t>
            </w:r>
          </w:p>
          <w:p>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知道全球卫生策略和老年健康策略的演变。</w:t>
            </w:r>
          </w:p>
          <w:p>
            <w:pPr>
              <w:widowControl w:val="0"/>
              <w:snapToGrid w:val="0"/>
              <w:spacing w:line="288" w:lineRule="auto"/>
              <w:jc w:val="left"/>
              <w:rPr>
                <w:color w:val="000000"/>
                <w:sz w:val="21"/>
                <w:szCs w:val="21"/>
              </w:rPr>
            </w:pPr>
            <w:r>
              <w:rPr>
                <w:color w:val="000000"/>
                <w:sz w:val="21"/>
                <w:szCs w:val="21"/>
              </w:rPr>
              <w:t>3、</w:t>
            </w:r>
            <w:r>
              <w:rPr>
                <w:rFonts w:hint="eastAsia"/>
                <w:color w:val="000000"/>
                <w:sz w:val="21"/>
                <w:szCs w:val="21"/>
              </w:rPr>
              <w:t>理解老年健康事业面临的机遇和挑战以及如何消除歧视和虐待。</w:t>
            </w:r>
          </w:p>
          <w:p>
            <w:pPr>
              <w:widowControl w:val="0"/>
              <w:snapToGrid w:val="0"/>
              <w:spacing w:line="288" w:lineRule="auto"/>
              <w:jc w:val="left"/>
              <w:rPr>
                <w:b/>
                <w:bCs/>
                <w:color w:val="000000"/>
                <w:sz w:val="21"/>
                <w:szCs w:val="21"/>
              </w:rPr>
            </w:pPr>
            <w:r>
              <w:rPr>
                <w:rFonts w:hint="eastAsia"/>
                <w:b/>
                <w:bCs/>
                <w:color w:val="000000"/>
                <w:sz w:val="21"/>
                <w:szCs w:val="21"/>
              </w:rPr>
              <w:t>教学难点：</w:t>
            </w:r>
          </w:p>
          <w:p>
            <w:pPr>
              <w:widowControl w:val="0"/>
              <w:snapToGrid w:val="0"/>
              <w:spacing w:line="288" w:lineRule="auto"/>
              <w:jc w:val="left"/>
              <w:rPr>
                <w:color w:val="000000"/>
                <w:sz w:val="21"/>
                <w:szCs w:val="21"/>
              </w:rPr>
            </w:pPr>
            <w:r>
              <w:rPr>
                <w:rFonts w:hint="eastAsia"/>
                <w:color w:val="000000"/>
                <w:sz w:val="21"/>
                <w:szCs w:val="21"/>
              </w:rPr>
              <w:t>重构老年人价值与认知</w:t>
            </w:r>
          </w:p>
          <w:p>
            <w:pPr>
              <w:widowControl w:val="0"/>
              <w:snapToGrid w:val="0"/>
              <w:spacing w:line="288" w:lineRule="auto"/>
              <w:jc w:val="left"/>
              <w:rPr>
                <w:color w:val="000000"/>
                <w:sz w:val="21"/>
                <w:szCs w:val="21"/>
              </w:rPr>
            </w:pPr>
            <w:r>
              <w:rPr>
                <w:rFonts w:hint="eastAsia"/>
                <w:b/>
                <w:bCs/>
                <w:color w:val="000000"/>
                <w:sz w:val="21"/>
                <w:szCs w:val="21"/>
              </w:rPr>
              <w:t>能力要求：</w:t>
            </w:r>
          </w:p>
          <w:p>
            <w:pPr>
              <w:widowControl w:val="0"/>
              <w:snapToGrid w:val="0"/>
              <w:spacing w:line="288" w:lineRule="auto"/>
              <w:jc w:val="left"/>
              <w:rPr>
                <w:color w:val="000000"/>
                <w:sz w:val="21"/>
                <w:szCs w:val="21"/>
              </w:rPr>
            </w:pPr>
            <w:r>
              <w:rPr>
                <w:rFonts w:hint="eastAsia"/>
                <w:color w:val="000000"/>
                <w:sz w:val="21"/>
                <w:szCs w:val="21"/>
              </w:rPr>
              <w:t>能运用本章知识，比较健康老龄化和积极老龄化的联系与区别。</w:t>
            </w:r>
          </w:p>
          <w:p>
            <w:pPr>
              <w:widowControl w:val="0"/>
              <w:snapToGrid w:val="0"/>
              <w:spacing w:line="288" w:lineRule="auto"/>
              <w:jc w:val="left"/>
              <w:rPr>
                <w:rFonts w:hint="eastAsia"/>
                <w:color w:val="000000"/>
                <w:sz w:val="21"/>
                <w:szCs w:val="21"/>
              </w:rPr>
            </w:pPr>
          </w:p>
          <w:p>
            <w:pPr>
              <w:widowControl w:val="0"/>
              <w:tabs>
                <w:tab w:val="left" w:pos="312"/>
              </w:tabs>
              <w:snapToGrid w:val="0"/>
              <w:spacing w:line="288" w:lineRule="auto"/>
              <w:jc w:val="left"/>
              <w:rPr>
                <w:b/>
                <w:bCs/>
                <w:color w:val="000000"/>
                <w:sz w:val="21"/>
                <w:szCs w:val="21"/>
              </w:rPr>
            </w:pPr>
            <w:r>
              <w:rPr>
                <w:b/>
                <w:bCs/>
                <w:color w:val="000000"/>
                <w:sz w:val="21"/>
                <w:szCs w:val="21"/>
              </w:rPr>
              <w:t>第八章</w:t>
            </w:r>
            <w:r>
              <w:rPr>
                <w:rFonts w:hint="eastAsia"/>
                <w:b/>
                <w:bCs/>
                <w:color w:val="000000"/>
                <w:sz w:val="21"/>
                <w:szCs w:val="21"/>
              </w:rPr>
              <w:t xml:space="preserve"> 老年健康公共政策体系</w:t>
            </w:r>
          </w:p>
          <w:p>
            <w:pPr>
              <w:widowControl w:val="0"/>
              <w:snapToGrid w:val="0"/>
              <w:spacing w:line="288" w:lineRule="auto"/>
              <w:jc w:val="left"/>
              <w:rPr>
                <w:b/>
                <w:bCs/>
                <w:color w:val="000000"/>
                <w:sz w:val="21"/>
                <w:szCs w:val="21"/>
              </w:rPr>
            </w:pPr>
            <w:r>
              <w:rPr>
                <w:rFonts w:hint="eastAsia"/>
                <w:b/>
                <w:bCs/>
                <w:color w:val="000000"/>
                <w:sz w:val="21"/>
                <w:szCs w:val="21"/>
              </w:rPr>
              <w:t>知识点：</w:t>
            </w:r>
          </w:p>
          <w:p>
            <w:pPr>
              <w:widowControl w:val="0"/>
              <w:snapToGrid w:val="0"/>
              <w:spacing w:line="288" w:lineRule="auto"/>
              <w:jc w:val="left"/>
              <w:rPr>
                <w:color w:val="000000"/>
                <w:sz w:val="21"/>
                <w:szCs w:val="21"/>
              </w:rPr>
            </w:pPr>
            <w:r>
              <w:rPr>
                <w:rFonts w:hint="eastAsia"/>
                <w:color w:val="000000"/>
                <w:sz w:val="21"/>
                <w:szCs w:val="21"/>
              </w:rPr>
              <w:t>1、知道影响老年人健康素养的因素及促进策略、健康教育和健康促进的内容、形式等特征。</w:t>
            </w:r>
          </w:p>
          <w:p>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知道以群组为基础的老年健康促进理论。</w:t>
            </w:r>
          </w:p>
          <w:p>
            <w:pPr>
              <w:widowControl w:val="0"/>
              <w:snapToGrid w:val="0"/>
              <w:spacing w:line="288" w:lineRule="auto"/>
              <w:jc w:val="left"/>
              <w:rPr>
                <w:color w:val="000000"/>
                <w:sz w:val="21"/>
                <w:szCs w:val="21"/>
              </w:rPr>
            </w:pPr>
            <w:r>
              <w:rPr>
                <w:color w:val="000000"/>
                <w:sz w:val="21"/>
                <w:szCs w:val="21"/>
              </w:rPr>
              <w:t>3、</w:t>
            </w:r>
            <w:r>
              <w:rPr>
                <w:rFonts w:hint="eastAsia"/>
                <w:color w:val="000000"/>
                <w:sz w:val="21"/>
                <w:szCs w:val="21"/>
              </w:rPr>
              <w:t>理解WHO提出的“关爱老年人环境规划”的具体策略。</w:t>
            </w:r>
          </w:p>
          <w:p>
            <w:pPr>
              <w:widowControl w:val="0"/>
              <w:snapToGrid w:val="0"/>
              <w:spacing w:line="288" w:lineRule="auto"/>
              <w:jc w:val="left"/>
              <w:rPr>
                <w:color w:val="000000"/>
                <w:sz w:val="21"/>
                <w:szCs w:val="21"/>
              </w:rPr>
            </w:pPr>
            <w:r>
              <w:rPr>
                <w:rFonts w:hint="eastAsia"/>
                <w:b/>
                <w:bCs/>
                <w:color w:val="000000"/>
                <w:sz w:val="21"/>
                <w:szCs w:val="21"/>
              </w:rPr>
              <w:t>教学难点</w:t>
            </w:r>
            <w:r>
              <w:rPr>
                <w:rFonts w:hint="eastAsia"/>
                <w:color w:val="000000"/>
                <w:sz w:val="21"/>
                <w:szCs w:val="21"/>
              </w:rPr>
              <w:t>：</w:t>
            </w:r>
          </w:p>
          <w:p>
            <w:pPr>
              <w:widowControl w:val="0"/>
              <w:snapToGrid w:val="0"/>
              <w:spacing w:line="288" w:lineRule="auto"/>
              <w:jc w:val="left"/>
              <w:rPr>
                <w:b/>
                <w:bCs/>
                <w:color w:val="000000"/>
                <w:sz w:val="21"/>
                <w:szCs w:val="21"/>
              </w:rPr>
            </w:pPr>
            <w:r>
              <w:rPr>
                <w:rFonts w:hint="eastAsia"/>
                <w:color w:val="000000"/>
                <w:sz w:val="21"/>
                <w:szCs w:val="21"/>
              </w:rPr>
              <w:t>各国老年健康公共政策体系</w:t>
            </w:r>
          </w:p>
          <w:p>
            <w:pPr>
              <w:widowControl w:val="0"/>
              <w:snapToGrid w:val="0"/>
              <w:spacing w:line="288" w:lineRule="auto"/>
              <w:jc w:val="left"/>
              <w:rPr>
                <w:color w:val="000000"/>
                <w:sz w:val="21"/>
                <w:szCs w:val="21"/>
              </w:rPr>
            </w:pPr>
            <w:r>
              <w:rPr>
                <w:rFonts w:hint="eastAsia"/>
                <w:b/>
                <w:bCs/>
                <w:color w:val="000000"/>
                <w:sz w:val="21"/>
                <w:szCs w:val="21"/>
              </w:rPr>
              <w:t>能力要求：</w:t>
            </w:r>
          </w:p>
          <w:p>
            <w:pPr>
              <w:widowControl w:val="0"/>
              <w:snapToGrid w:val="0"/>
              <w:spacing w:line="288" w:lineRule="auto"/>
              <w:jc w:val="left"/>
              <w:rPr>
                <w:rFonts w:hint="eastAsia"/>
                <w:color w:val="000000"/>
                <w:sz w:val="21"/>
                <w:szCs w:val="21"/>
              </w:rPr>
            </w:pPr>
            <w:r>
              <w:rPr>
                <w:rFonts w:hint="eastAsia"/>
                <w:color w:val="000000"/>
                <w:sz w:val="21"/>
                <w:szCs w:val="21"/>
              </w:rPr>
              <w:t>能运用本章知识，帮助老年人培养良好的健康素养。</w:t>
            </w:r>
          </w:p>
          <w:p>
            <w:pPr>
              <w:widowControl w:val="0"/>
              <w:tabs>
                <w:tab w:val="left" w:pos="312"/>
              </w:tabs>
              <w:snapToGrid w:val="0"/>
              <w:spacing w:line="288" w:lineRule="auto"/>
              <w:jc w:val="left"/>
              <w:rPr>
                <w:b/>
                <w:bCs/>
                <w:color w:val="000000"/>
                <w:sz w:val="21"/>
                <w:szCs w:val="21"/>
              </w:rPr>
            </w:pPr>
            <w:r>
              <w:rPr>
                <w:b/>
                <w:bCs/>
                <w:color w:val="000000"/>
                <w:sz w:val="21"/>
                <w:szCs w:val="21"/>
              </w:rPr>
              <w:t>第九章</w:t>
            </w:r>
            <w:r>
              <w:rPr>
                <w:rFonts w:hint="eastAsia"/>
                <w:b/>
                <w:bCs/>
                <w:color w:val="000000"/>
                <w:sz w:val="21"/>
                <w:szCs w:val="21"/>
              </w:rPr>
              <w:t xml:space="preserve"> 老年健康促进</w:t>
            </w:r>
          </w:p>
          <w:p>
            <w:pPr>
              <w:widowControl w:val="0"/>
              <w:snapToGrid w:val="0"/>
              <w:spacing w:line="288" w:lineRule="auto"/>
              <w:jc w:val="left"/>
              <w:rPr>
                <w:b/>
                <w:bCs/>
                <w:color w:val="000000"/>
                <w:sz w:val="21"/>
                <w:szCs w:val="21"/>
              </w:rPr>
            </w:pPr>
            <w:r>
              <w:rPr>
                <w:rFonts w:hint="eastAsia"/>
                <w:b/>
                <w:bCs/>
                <w:color w:val="000000"/>
                <w:sz w:val="21"/>
                <w:szCs w:val="21"/>
              </w:rPr>
              <w:t>知识点：</w:t>
            </w:r>
          </w:p>
          <w:p>
            <w:pPr>
              <w:widowControl w:val="0"/>
              <w:snapToGrid w:val="0"/>
              <w:spacing w:line="288" w:lineRule="auto"/>
              <w:jc w:val="left"/>
              <w:rPr>
                <w:color w:val="000000"/>
                <w:sz w:val="21"/>
                <w:szCs w:val="21"/>
              </w:rPr>
            </w:pPr>
            <w:r>
              <w:rPr>
                <w:rFonts w:hint="eastAsia"/>
                <w:color w:val="000000"/>
                <w:sz w:val="21"/>
                <w:szCs w:val="21"/>
              </w:rPr>
              <w:t>1、知道影响老年人健康素养的因素及促进策略、健康教育和健康促进的内容、形式等特征。</w:t>
            </w:r>
          </w:p>
          <w:p>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知道以群组为基础的老年健康促进理论。</w:t>
            </w:r>
          </w:p>
          <w:p>
            <w:pPr>
              <w:widowControl w:val="0"/>
              <w:snapToGrid w:val="0"/>
              <w:spacing w:line="288" w:lineRule="auto"/>
              <w:jc w:val="left"/>
              <w:rPr>
                <w:color w:val="000000"/>
                <w:sz w:val="21"/>
                <w:szCs w:val="21"/>
              </w:rPr>
            </w:pPr>
            <w:r>
              <w:rPr>
                <w:color w:val="000000"/>
                <w:sz w:val="21"/>
                <w:szCs w:val="21"/>
              </w:rPr>
              <w:t>3、</w:t>
            </w:r>
            <w:r>
              <w:rPr>
                <w:rFonts w:hint="eastAsia"/>
                <w:color w:val="000000"/>
                <w:sz w:val="21"/>
                <w:szCs w:val="21"/>
              </w:rPr>
              <w:t>理解WHO提出的“关爱老年人环境规划”的具体策略。</w:t>
            </w:r>
          </w:p>
          <w:p>
            <w:pPr>
              <w:widowControl w:val="0"/>
              <w:snapToGrid w:val="0"/>
              <w:spacing w:line="288" w:lineRule="auto"/>
              <w:jc w:val="left"/>
              <w:rPr>
                <w:b/>
                <w:bCs/>
                <w:color w:val="000000"/>
                <w:sz w:val="21"/>
                <w:szCs w:val="21"/>
              </w:rPr>
            </w:pPr>
            <w:r>
              <w:rPr>
                <w:rFonts w:hint="eastAsia"/>
                <w:b/>
                <w:bCs/>
                <w:color w:val="000000"/>
                <w:sz w:val="21"/>
                <w:szCs w:val="21"/>
              </w:rPr>
              <w:t>教学难点：</w:t>
            </w:r>
          </w:p>
          <w:p>
            <w:pPr>
              <w:widowControl w:val="0"/>
              <w:snapToGrid w:val="0"/>
              <w:spacing w:line="288" w:lineRule="auto"/>
              <w:jc w:val="left"/>
              <w:rPr>
                <w:color w:val="000000"/>
                <w:sz w:val="21"/>
                <w:szCs w:val="21"/>
              </w:rPr>
            </w:pPr>
            <w:r>
              <w:rPr>
                <w:rFonts w:hint="eastAsia"/>
                <w:color w:val="000000"/>
                <w:sz w:val="21"/>
                <w:szCs w:val="21"/>
              </w:rPr>
              <w:t>1、老年人健康行为影响因素</w:t>
            </w:r>
          </w:p>
          <w:p>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老年群组健康促进理论</w:t>
            </w:r>
          </w:p>
          <w:p>
            <w:pPr>
              <w:widowControl w:val="0"/>
              <w:snapToGrid w:val="0"/>
              <w:spacing w:line="288" w:lineRule="auto"/>
              <w:jc w:val="left"/>
              <w:rPr>
                <w:b/>
                <w:bCs/>
                <w:color w:val="000000"/>
                <w:sz w:val="21"/>
                <w:szCs w:val="21"/>
              </w:rPr>
            </w:pPr>
            <w:r>
              <w:rPr>
                <w:rFonts w:hint="eastAsia"/>
                <w:b/>
                <w:bCs/>
                <w:color w:val="000000"/>
                <w:sz w:val="21"/>
                <w:szCs w:val="21"/>
              </w:rPr>
              <w:t>能力要求：</w:t>
            </w:r>
          </w:p>
          <w:p>
            <w:pPr>
              <w:widowControl w:val="0"/>
              <w:snapToGrid w:val="0"/>
              <w:spacing w:line="288" w:lineRule="auto"/>
              <w:jc w:val="left"/>
              <w:rPr>
                <w:rFonts w:hint="eastAsia"/>
                <w:color w:val="000000"/>
                <w:sz w:val="21"/>
                <w:szCs w:val="21"/>
              </w:rPr>
            </w:pPr>
            <w:r>
              <w:rPr>
                <w:rFonts w:hint="eastAsia"/>
                <w:color w:val="000000"/>
                <w:sz w:val="21"/>
                <w:szCs w:val="21"/>
              </w:rPr>
              <w:t>能运用本章知识，帮助老年人培养良好的健康素养。</w:t>
            </w:r>
          </w:p>
          <w:p>
            <w:pPr>
              <w:widowControl w:val="0"/>
              <w:snapToGrid w:val="0"/>
              <w:spacing w:line="288" w:lineRule="auto"/>
              <w:jc w:val="left"/>
              <w:rPr>
                <w:b/>
                <w:bCs/>
                <w:color w:val="000000"/>
                <w:sz w:val="21"/>
                <w:szCs w:val="21"/>
              </w:rPr>
            </w:pPr>
            <w:r>
              <w:rPr>
                <w:rFonts w:hint="eastAsia"/>
                <w:b/>
                <w:bCs/>
                <w:color w:val="000000"/>
                <w:sz w:val="21"/>
                <w:szCs w:val="21"/>
              </w:rPr>
              <w:t>第十章 老年长期照料</w:t>
            </w:r>
          </w:p>
          <w:p>
            <w:pPr>
              <w:widowControl w:val="0"/>
              <w:snapToGrid w:val="0"/>
              <w:spacing w:line="288" w:lineRule="auto"/>
              <w:jc w:val="left"/>
              <w:rPr>
                <w:b/>
                <w:bCs/>
                <w:color w:val="000000"/>
                <w:sz w:val="21"/>
                <w:szCs w:val="21"/>
              </w:rPr>
            </w:pPr>
            <w:r>
              <w:rPr>
                <w:rFonts w:hint="eastAsia"/>
                <w:b/>
                <w:bCs/>
                <w:color w:val="000000"/>
                <w:sz w:val="21"/>
                <w:szCs w:val="21"/>
              </w:rPr>
              <w:t>知识点：</w:t>
            </w:r>
          </w:p>
          <w:p>
            <w:pPr>
              <w:widowControl w:val="0"/>
              <w:snapToGrid w:val="0"/>
              <w:spacing w:line="288" w:lineRule="auto"/>
              <w:jc w:val="left"/>
              <w:rPr>
                <w:color w:val="000000"/>
                <w:sz w:val="21"/>
                <w:szCs w:val="21"/>
              </w:rPr>
            </w:pPr>
            <w:r>
              <w:rPr>
                <w:rFonts w:hint="eastAsia"/>
                <w:color w:val="000000"/>
                <w:sz w:val="21"/>
                <w:szCs w:val="21"/>
              </w:rPr>
              <w:t>1、知道老年长期照料的基本概念、模式及作用。</w:t>
            </w:r>
          </w:p>
          <w:p>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知道美国、德国、日本和中国的长期照料模式，对全球长期照料制度安排有充分的认识。</w:t>
            </w:r>
          </w:p>
          <w:p>
            <w:pPr>
              <w:widowControl w:val="0"/>
              <w:snapToGrid w:val="0"/>
              <w:spacing w:line="288" w:lineRule="auto"/>
              <w:jc w:val="left"/>
              <w:rPr>
                <w:color w:val="000000"/>
                <w:sz w:val="21"/>
                <w:szCs w:val="21"/>
              </w:rPr>
            </w:pPr>
            <w:r>
              <w:rPr>
                <w:rFonts w:hint="eastAsia"/>
                <w:color w:val="000000"/>
                <w:sz w:val="21"/>
                <w:szCs w:val="21"/>
              </w:rPr>
              <w:t>3、知道老龄化社会老年长期照料的问题和挑战。</w:t>
            </w:r>
          </w:p>
          <w:p>
            <w:pPr>
              <w:widowControl w:val="0"/>
              <w:snapToGrid w:val="0"/>
              <w:spacing w:line="288" w:lineRule="auto"/>
              <w:jc w:val="left"/>
              <w:rPr>
                <w:color w:val="000000"/>
                <w:sz w:val="21"/>
                <w:szCs w:val="21"/>
              </w:rPr>
            </w:pPr>
            <w:r>
              <w:rPr>
                <w:color w:val="000000"/>
                <w:sz w:val="21"/>
                <w:szCs w:val="21"/>
              </w:rPr>
              <w:t>4、</w:t>
            </w:r>
            <w:r>
              <w:rPr>
                <w:rFonts w:hint="eastAsia"/>
                <w:color w:val="000000"/>
                <w:sz w:val="21"/>
                <w:szCs w:val="21"/>
              </w:rPr>
              <w:t>理解世界各国需要在长期照料人力资源、资金、服务场所、产业发展方面进行创新的必要性。</w:t>
            </w:r>
          </w:p>
          <w:p>
            <w:pPr>
              <w:widowControl w:val="0"/>
              <w:snapToGrid w:val="0"/>
              <w:spacing w:line="288" w:lineRule="auto"/>
              <w:jc w:val="left"/>
              <w:rPr>
                <w:b/>
                <w:bCs/>
                <w:color w:val="000000"/>
                <w:sz w:val="21"/>
                <w:szCs w:val="21"/>
              </w:rPr>
            </w:pPr>
            <w:r>
              <w:rPr>
                <w:rFonts w:hint="eastAsia"/>
                <w:b/>
                <w:bCs/>
                <w:color w:val="000000"/>
                <w:sz w:val="21"/>
                <w:szCs w:val="21"/>
              </w:rPr>
              <w:t>教学难点：</w:t>
            </w:r>
          </w:p>
          <w:p>
            <w:pPr>
              <w:widowControl w:val="0"/>
              <w:snapToGrid w:val="0"/>
              <w:spacing w:line="288" w:lineRule="auto"/>
              <w:jc w:val="left"/>
              <w:rPr>
                <w:b/>
                <w:bCs/>
                <w:color w:val="000000"/>
                <w:sz w:val="21"/>
                <w:szCs w:val="21"/>
              </w:rPr>
            </w:pPr>
            <w:r>
              <w:rPr>
                <w:rFonts w:hint="eastAsia"/>
                <w:color w:val="000000"/>
                <w:sz w:val="21"/>
                <w:szCs w:val="21"/>
              </w:rPr>
              <w:t>老年长期照料的问题与挑战</w:t>
            </w:r>
          </w:p>
          <w:p>
            <w:pPr>
              <w:widowControl w:val="0"/>
              <w:snapToGrid w:val="0"/>
              <w:spacing w:line="288" w:lineRule="auto"/>
              <w:jc w:val="left"/>
              <w:rPr>
                <w:b/>
                <w:bCs/>
                <w:color w:val="000000"/>
                <w:sz w:val="21"/>
                <w:szCs w:val="21"/>
              </w:rPr>
            </w:pPr>
            <w:r>
              <w:rPr>
                <w:rFonts w:hint="eastAsia"/>
                <w:b/>
                <w:bCs/>
                <w:color w:val="000000"/>
                <w:sz w:val="21"/>
                <w:szCs w:val="21"/>
              </w:rPr>
              <w:t>能力要求：</w:t>
            </w:r>
          </w:p>
          <w:p>
            <w:pPr>
              <w:widowControl w:val="0"/>
              <w:snapToGrid w:val="0"/>
              <w:spacing w:line="288" w:lineRule="auto"/>
              <w:jc w:val="left"/>
              <w:rPr>
                <w:rFonts w:hint="eastAsia"/>
                <w:color w:val="000000"/>
                <w:sz w:val="21"/>
                <w:szCs w:val="21"/>
              </w:rPr>
            </w:pPr>
            <w:r>
              <w:rPr>
                <w:rFonts w:hint="eastAsia"/>
                <w:color w:val="000000"/>
                <w:sz w:val="21"/>
                <w:szCs w:val="21"/>
              </w:rPr>
              <w:t>能运用本章知识，分析美国、德国、日本目前长期照料政策各自的优缺点。</w:t>
            </w:r>
          </w:p>
          <w:p>
            <w:pPr>
              <w:widowControl w:val="0"/>
              <w:snapToGrid w:val="0"/>
              <w:spacing w:line="288" w:lineRule="auto"/>
              <w:jc w:val="left"/>
              <w:rPr>
                <w:b/>
                <w:bCs/>
                <w:sz w:val="21"/>
                <w:szCs w:val="21"/>
              </w:rPr>
            </w:pPr>
            <w:r>
              <w:rPr>
                <w:rFonts w:hint="eastAsia"/>
                <w:b/>
                <w:bCs/>
                <w:sz w:val="21"/>
                <w:szCs w:val="21"/>
              </w:rPr>
              <w:t>第十一章 老年健康全球治理</w:t>
            </w:r>
          </w:p>
          <w:p>
            <w:pPr>
              <w:widowControl w:val="0"/>
              <w:snapToGrid w:val="0"/>
              <w:spacing w:line="288" w:lineRule="auto"/>
              <w:jc w:val="left"/>
              <w:rPr>
                <w:b/>
                <w:bCs/>
                <w:sz w:val="21"/>
                <w:szCs w:val="21"/>
              </w:rPr>
            </w:pPr>
            <w:r>
              <w:rPr>
                <w:rFonts w:hint="eastAsia"/>
                <w:b/>
                <w:bCs/>
                <w:sz w:val="21"/>
                <w:szCs w:val="21"/>
              </w:rPr>
              <w:t>知识点：</w:t>
            </w:r>
          </w:p>
          <w:p>
            <w:pPr>
              <w:widowControl w:val="0"/>
              <w:snapToGrid w:val="0"/>
              <w:spacing w:line="288" w:lineRule="auto"/>
              <w:jc w:val="left"/>
              <w:rPr>
                <w:color w:val="000000"/>
                <w:sz w:val="21"/>
                <w:szCs w:val="21"/>
              </w:rPr>
            </w:pPr>
            <w:r>
              <w:rPr>
                <w:rFonts w:hint="eastAsia"/>
                <w:color w:val="000000"/>
                <w:sz w:val="21"/>
                <w:szCs w:val="21"/>
              </w:rPr>
              <w:t>1、知道全球老年健康治理的共识理念、重要内容及治理主体。</w:t>
            </w:r>
          </w:p>
          <w:p>
            <w:pPr>
              <w:widowControl w:val="0"/>
              <w:snapToGrid w:val="0"/>
              <w:spacing w:line="288" w:lineRule="auto"/>
              <w:jc w:val="left"/>
              <w:rPr>
                <w:color w:val="000000"/>
                <w:sz w:val="21"/>
                <w:szCs w:val="21"/>
              </w:rPr>
            </w:pPr>
            <w:r>
              <w:rPr>
                <w:rFonts w:hint="eastAsia"/>
                <w:color w:val="000000"/>
                <w:sz w:val="21"/>
                <w:szCs w:val="21"/>
              </w:rPr>
              <w:t>2、知道国际社会老龄化及老年健康全球治理的行动计划。</w:t>
            </w:r>
          </w:p>
          <w:p>
            <w:pPr>
              <w:widowControl w:val="0"/>
              <w:snapToGrid w:val="0"/>
              <w:spacing w:line="288" w:lineRule="auto"/>
              <w:jc w:val="left"/>
              <w:rPr>
                <w:color w:val="000000"/>
                <w:sz w:val="21"/>
                <w:szCs w:val="21"/>
              </w:rPr>
            </w:pPr>
            <w:r>
              <w:rPr>
                <w:color w:val="000000"/>
                <w:sz w:val="21"/>
                <w:szCs w:val="21"/>
              </w:rPr>
              <w:t>3、</w:t>
            </w:r>
            <w:r>
              <w:rPr>
                <w:rFonts w:hint="eastAsia"/>
                <w:color w:val="000000"/>
                <w:sz w:val="21"/>
                <w:szCs w:val="21"/>
              </w:rPr>
              <w:t>理解国际社会和国家政府老年健康治理的行动与实践。</w:t>
            </w:r>
          </w:p>
          <w:p>
            <w:pPr>
              <w:widowControl w:val="0"/>
              <w:snapToGrid w:val="0"/>
              <w:spacing w:line="288" w:lineRule="auto"/>
              <w:jc w:val="left"/>
              <w:rPr>
                <w:b/>
                <w:bCs/>
                <w:sz w:val="21"/>
                <w:szCs w:val="21"/>
              </w:rPr>
            </w:pPr>
            <w:r>
              <w:rPr>
                <w:rFonts w:hint="eastAsia"/>
                <w:b/>
                <w:bCs/>
                <w:sz w:val="21"/>
                <w:szCs w:val="21"/>
              </w:rPr>
              <w:t>教学难点：</w:t>
            </w:r>
          </w:p>
          <w:p>
            <w:pPr>
              <w:widowControl w:val="0"/>
              <w:snapToGrid w:val="0"/>
              <w:spacing w:line="288" w:lineRule="auto"/>
              <w:jc w:val="left"/>
              <w:rPr>
                <w:b/>
                <w:bCs/>
                <w:sz w:val="21"/>
                <w:szCs w:val="21"/>
              </w:rPr>
            </w:pPr>
            <w:r>
              <w:rPr>
                <w:rFonts w:hint="eastAsia"/>
                <w:color w:val="000000"/>
                <w:sz w:val="21"/>
                <w:szCs w:val="21"/>
              </w:rPr>
              <w:t>老年健康全球治理实践</w:t>
            </w:r>
          </w:p>
          <w:p>
            <w:pPr>
              <w:widowControl w:val="0"/>
              <w:snapToGrid w:val="0"/>
              <w:spacing w:line="288" w:lineRule="auto"/>
              <w:jc w:val="left"/>
              <w:rPr>
                <w:b/>
                <w:bCs/>
                <w:sz w:val="21"/>
                <w:szCs w:val="21"/>
              </w:rPr>
            </w:pPr>
            <w:r>
              <w:rPr>
                <w:rFonts w:hint="eastAsia"/>
                <w:b/>
                <w:bCs/>
                <w:sz w:val="21"/>
                <w:szCs w:val="21"/>
              </w:rPr>
              <w:t>能力要求：</w:t>
            </w:r>
          </w:p>
          <w:p>
            <w:pPr>
              <w:widowControl w:val="0"/>
              <w:snapToGrid w:val="0"/>
              <w:spacing w:line="288" w:lineRule="auto"/>
              <w:jc w:val="left"/>
              <w:rPr>
                <w:color w:val="000000"/>
                <w:sz w:val="21"/>
                <w:szCs w:val="21"/>
              </w:rPr>
            </w:pPr>
            <w:r>
              <w:rPr>
                <w:rFonts w:hint="eastAsia"/>
                <w:color w:val="000000"/>
                <w:sz w:val="21"/>
                <w:szCs w:val="21"/>
              </w:rPr>
              <w:t>1、能运用本章知识，分析并评估联合国治理全球老龄化问题的思路。</w:t>
            </w:r>
          </w:p>
          <w:p>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能运用本章知识，分析中国老龄化趋势及治理的思路。</w:t>
            </w:r>
          </w:p>
          <w:p>
            <w:pPr>
              <w:widowControl w:val="0"/>
              <w:snapToGrid w:val="0"/>
              <w:spacing w:line="288" w:lineRule="auto"/>
              <w:jc w:val="left"/>
              <w:rPr>
                <w:rFonts w:hint="eastAsia"/>
                <w:color w:val="000000"/>
                <w:sz w:val="21"/>
                <w:szCs w:val="21"/>
              </w:rPr>
            </w:pPr>
          </w:p>
          <w:p>
            <w:pPr>
              <w:widowControl w:val="0"/>
              <w:snapToGrid w:val="0"/>
              <w:spacing w:line="288" w:lineRule="auto"/>
              <w:jc w:val="left"/>
              <w:rPr>
                <w:b/>
                <w:bCs/>
                <w:sz w:val="21"/>
                <w:szCs w:val="21"/>
              </w:rPr>
            </w:pPr>
            <w:r>
              <w:rPr>
                <w:rFonts w:hint="eastAsia"/>
                <w:b/>
                <w:bCs/>
                <w:sz w:val="21"/>
                <w:szCs w:val="21"/>
              </w:rPr>
              <w:t xml:space="preserve">第十二章 </w:t>
            </w:r>
            <w:r>
              <w:rPr>
                <w:b/>
                <w:bCs/>
                <w:sz w:val="21"/>
                <w:szCs w:val="21"/>
              </w:rPr>
              <w:t xml:space="preserve"> </w:t>
            </w:r>
            <w:r>
              <w:rPr>
                <w:rFonts w:hint="eastAsia"/>
                <w:b/>
                <w:bCs/>
                <w:sz w:val="21"/>
                <w:szCs w:val="21"/>
              </w:rPr>
              <w:t>老年慢性非传染性疾病</w:t>
            </w:r>
          </w:p>
          <w:p>
            <w:pPr>
              <w:widowControl w:val="0"/>
              <w:snapToGrid w:val="0"/>
              <w:spacing w:line="288" w:lineRule="auto"/>
              <w:jc w:val="left"/>
              <w:rPr>
                <w:b/>
                <w:bCs/>
                <w:sz w:val="21"/>
                <w:szCs w:val="21"/>
              </w:rPr>
            </w:pPr>
            <w:r>
              <w:rPr>
                <w:rFonts w:hint="eastAsia"/>
                <w:b/>
                <w:bCs/>
                <w:sz w:val="21"/>
                <w:szCs w:val="21"/>
              </w:rPr>
              <w:t>知识点：</w:t>
            </w:r>
          </w:p>
          <w:p>
            <w:pPr>
              <w:widowControl w:val="0"/>
              <w:snapToGrid w:val="0"/>
              <w:spacing w:line="288" w:lineRule="auto"/>
              <w:jc w:val="left"/>
              <w:rPr>
                <w:color w:val="000000"/>
                <w:sz w:val="21"/>
                <w:szCs w:val="21"/>
              </w:rPr>
            </w:pPr>
            <w:r>
              <w:rPr>
                <w:rFonts w:hint="eastAsia"/>
                <w:color w:val="000000"/>
                <w:sz w:val="21"/>
                <w:szCs w:val="21"/>
              </w:rPr>
              <w:t>1、知道全球老年人群NCD流行现状、流行特征和疾病负担。</w:t>
            </w:r>
          </w:p>
          <w:p>
            <w:pPr>
              <w:widowControl w:val="0"/>
              <w:snapToGrid w:val="0"/>
              <w:spacing w:line="288" w:lineRule="auto"/>
              <w:jc w:val="left"/>
              <w:rPr>
                <w:color w:val="000000"/>
                <w:sz w:val="21"/>
                <w:szCs w:val="21"/>
              </w:rPr>
            </w:pPr>
            <w:r>
              <w:rPr>
                <w:rFonts w:hint="eastAsia"/>
                <w:color w:val="000000"/>
                <w:sz w:val="21"/>
                <w:szCs w:val="21"/>
              </w:rPr>
              <w:t>2、知道心血管疾病、糖尿病、高血压、恶性肿瘤等慢性非传染性疾病的主要危险因素、全球流行分布特征。</w:t>
            </w:r>
          </w:p>
          <w:p>
            <w:pPr>
              <w:widowControl w:val="0"/>
              <w:snapToGrid w:val="0"/>
              <w:spacing w:line="288" w:lineRule="auto"/>
              <w:jc w:val="left"/>
              <w:rPr>
                <w:sz w:val="21"/>
                <w:szCs w:val="21"/>
              </w:rPr>
            </w:pPr>
            <w:r>
              <w:rPr>
                <w:color w:val="000000"/>
                <w:sz w:val="21"/>
                <w:szCs w:val="21"/>
              </w:rPr>
              <w:t>3、</w:t>
            </w:r>
            <w:r>
              <w:rPr>
                <w:rFonts w:hint="eastAsia"/>
                <w:color w:val="000000"/>
                <w:sz w:val="21"/>
                <w:szCs w:val="21"/>
              </w:rPr>
              <w:t>理解主要老年慢性非传染性疾病预防控制策略和措施等。</w:t>
            </w:r>
          </w:p>
          <w:p>
            <w:pPr>
              <w:widowControl w:val="0"/>
              <w:snapToGrid w:val="0"/>
              <w:spacing w:line="288" w:lineRule="auto"/>
              <w:jc w:val="left"/>
              <w:rPr>
                <w:b/>
                <w:bCs/>
                <w:sz w:val="21"/>
                <w:szCs w:val="21"/>
              </w:rPr>
            </w:pPr>
            <w:r>
              <w:rPr>
                <w:rFonts w:hint="eastAsia"/>
                <w:b/>
                <w:bCs/>
                <w:sz w:val="21"/>
                <w:szCs w:val="21"/>
              </w:rPr>
              <w:t>教学难点：</w:t>
            </w:r>
          </w:p>
          <w:p>
            <w:pPr>
              <w:widowControl w:val="0"/>
              <w:snapToGrid w:val="0"/>
              <w:spacing w:line="288" w:lineRule="auto"/>
              <w:jc w:val="left"/>
              <w:rPr>
                <w:color w:val="000000"/>
                <w:sz w:val="21"/>
                <w:szCs w:val="21"/>
              </w:rPr>
            </w:pPr>
            <w:r>
              <w:rPr>
                <w:rFonts w:hint="eastAsia"/>
                <w:color w:val="000000"/>
                <w:sz w:val="21"/>
                <w:szCs w:val="21"/>
              </w:rPr>
              <w:t>老年慢性非传染性疾病的预防控制策略与措施</w:t>
            </w:r>
          </w:p>
          <w:p>
            <w:pPr>
              <w:widowControl w:val="0"/>
              <w:snapToGrid w:val="0"/>
              <w:spacing w:line="288" w:lineRule="auto"/>
              <w:jc w:val="left"/>
              <w:rPr>
                <w:b/>
                <w:bCs/>
                <w:sz w:val="21"/>
                <w:szCs w:val="21"/>
              </w:rPr>
            </w:pPr>
            <w:r>
              <w:rPr>
                <w:rFonts w:hint="eastAsia"/>
                <w:b/>
                <w:bCs/>
                <w:sz w:val="21"/>
                <w:szCs w:val="21"/>
              </w:rPr>
              <w:t>能力要求：</w:t>
            </w:r>
          </w:p>
          <w:p>
            <w:pPr>
              <w:widowControl w:val="0"/>
              <w:snapToGrid w:val="0"/>
              <w:spacing w:line="288" w:lineRule="auto"/>
              <w:jc w:val="left"/>
              <w:rPr>
                <w:color w:val="000000"/>
                <w:sz w:val="21"/>
                <w:szCs w:val="21"/>
              </w:rPr>
            </w:pPr>
            <w:r>
              <w:rPr>
                <w:rFonts w:hint="eastAsia"/>
                <w:color w:val="000000"/>
                <w:sz w:val="21"/>
                <w:szCs w:val="21"/>
              </w:rPr>
              <w:t>能运用本章知识，举例说明全球针对慢性非传染性疾病防治的重要计划或行动及其主要内容。</w:t>
            </w:r>
          </w:p>
          <w:p>
            <w:pPr>
              <w:widowControl w:val="0"/>
              <w:snapToGrid w:val="0"/>
              <w:spacing w:line="288" w:lineRule="auto"/>
              <w:jc w:val="left"/>
              <w:rPr>
                <w:b/>
                <w:bCs/>
                <w:sz w:val="21"/>
                <w:szCs w:val="21"/>
              </w:rPr>
            </w:pPr>
            <w:r>
              <w:rPr>
                <w:rFonts w:hint="eastAsia"/>
                <w:b/>
                <w:bCs/>
                <w:sz w:val="21"/>
                <w:szCs w:val="21"/>
              </w:rPr>
              <w:t xml:space="preserve">第十三章 </w:t>
            </w:r>
            <w:r>
              <w:rPr>
                <w:b/>
                <w:bCs/>
                <w:sz w:val="21"/>
                <w:szCs w:val="21"/>
              </w:rPr>
              <w:t xml:space="preserve"> </w:t>
            </w:r>
            <w:r>
              <w:rPr>
                <w:rFonts w:hint="eastAsia"/>
                <w:b/>
                <w:bCs/>
                <w:sz w:val="21"/>
                <w:szCs w:val="21"/>
              </w:rPr>
              <w:t>全球老年传染性疾病</w:t>
            </w:r>
          </w:p>
          <w:p>
            <w:pPr>
              <w:widowControl w:val="0"/>
              <w:snapToGrid w:val="0"/>
              <w:spacing w:line="288" w:lineRule="auto"/>
              <w:jc w:val="left"/>
              <w:rPr>
                <w:b/>
                <w:bCs/>
                <w:sz w:val="21"/>
                <w:szCs w:val="21"/>
              </w:rPr>
            </w:pPr>
            <w:r>
              <w:rPr>
                <w:rFonts w:hint="eastAsia"/>
                <w:b/>
                <w:bCs/>
                <w:sz w:val="21"/>
                <w:szCs w:val="21"/>
              </w:rPr>
              <w:t>知识点：</w:t>
            </w:r>
          </w:p>
          <w:p>
            <w:pPr>
              <w:widowControl w:val="0"/>
              <w:snapToGrid w:val="0"/>
              <w:spacing w:line="288" w:lineRule="auto"/>
              <w:jc w:val="left"/>
              <w:rPr>
                <w:color w:val="000000"/>
                <w:sz w:val="21"/>
                <w:szCs w:val="21"/>
              </w:rPr>
            </w:pPr>
            <w:r>
              <w:rPr>
                <w:rFonts w:hint="eastAsia"/>
                <w:color w:val="000000"/>
                <w:sz w:val="21"/>
                <w:szCs w:val="21"/>
              </w:rPr>
              <w:t>1、知道老年传染性疾病的主要特征。</w:t>
            </w:r>
          </w:p>
          <w:p>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知道主要老年传染性疾病的全球发病情况及全球疾病负担。</w:t>
            </w:r>
          </w:p>
          <w:p>
            <w:pPr>
              <w:widowControl w:val="0"/>
              <w:snapToGrid w:val="0"/>
              <w:spacing w:line="288" w:lineRule="auto"/>
              <w:jc w:val="left"/>
              <w:rPr>
                <w:sz w:val="21"/>
                <w:szCs w:val="21"/>
              </w:rPr>
            </w:pPr>
            <w:r>
              <w:rPr>
                <w:color w:val="000000"/>
                <w:sz w:val="21"/>
                <w:szCs w:val="21"/>
              </w:rPr>
              <w:t>3、</w:t>
            </w:r>
            <w:r>
              <w:rPr>
                <w:rFonts w:hint="eastAsia"/>
                <w:color w:val="000000"/>
                <w:sz w:val="21"/>
                <w:szCs w:val="21"/>
              </w:rPr>
              <w:t>理解老年传染性疾病控制的全球政策及地区策略。</w:t>
            </w:r>
          </w:p>
          <w:p>
            <w:pPr>
              <w:widowControl w:val="0"/>
              <w:snapToGrid w:val="0"/>
              <w:spacing w:line="288" w:lineRule="auto"/>
              <w:jc w:val="left"/>
              <w:rPr>
                <w:sz w:val="21"/>
                <w:szCs w:val="21"/>
              </w:rPr>
            </w:pPr>
            <w:r>
              <w:rPr>
                <w:rFonts w:hint="eastAsia"/>
                <w:b/>
                <w:bCs/>
                <w:sz w:val="21"/>
                <w:szCs w:val="21"/>
              </w:rPr>
              <w:t>教学难点：</w:t>
            </w:r>
          </w:p>
          <w:p>
            <w:pPr>
              <w:widowControl w:val="0"/>
              <w:snapToGrid w:val="0"/>
              <w:spacing w:line="288" w:lineRule="auto"/>
              <w:jc w:val="left"/>
              <w:rPr>
                <w:b/>
                <w:bCs/>
                <w:sz w:val="21"/>
                <w:szCs w:val="21"/>
              </w:rPr>
            </w:pPr>
            <w:r>
              <w:rPr>
                <w:rFonts w:hint="eastAsia"/>
                <w:color w:val="000000"/>
                <w:sz w:val="21"/>
                <w:szCs w:val="21"/>
              </w:rPr>
              <w:t>全球老年主要传染性疾病的预防控制策略与措施</w:t>
            </w:r>
          </w:p>
          <w:p>
            <w:pPr>
              <w:widowControl w:val="0"/>
              <w:snapToGrid w:val="0"/>
              <w:spacing w:line="288" w:lineRule="auto"/>
              <w:jc w:val="left"/>
              <w:rPr>
                <w:color w:val="000000"/>
                <w:sz w:val="21"/>
                <w:szCs w:val="21"/>
              </w:rPr>
            </w:pPr>
            <w:r>
              <w:rPr>
                <w:rFonts w:hint="eastAsia"/>
                <w:b/>
                <w:bCs/>
                <w:sz w:val="21"/>
                <w:szCs w:val="21"/>
              </w:rPr>
              <w:t>能力要求：</w:t>
            </w:r>
            <w:r>
              <w:rPr>
                <w:rFonts w:hint="eastAsia"/>
                <w:color w:val="000000"/>
                <w:sz w:val="21"/>
                <w:szCs w:val="21"/>
              </w:rPr>
              <w:t>能运用本章知识，提出老年主要传染性疾病的预防控制策略。</w:t>
            </w:r>
          </w:p>
          <w:p>
            <w:pPr>
              <w:widowControl w:val="0"/>
              <w:snapToGrid w:val="0"/>
              <w:spacing w:line="288" w:lineRule="auto"/>
              <w:jc w:val="left"/>
              <w:rPr>
                <w:b/>
                <w:bCs/>
                <w:sz w:val="21"/>
                <w:szCs w:val="21"/>
              </w:rPr>
            </w:pPr>
            <w:r>
              <w:rPr>
                <w:rFonts w:hint="eastAsia"/>
                <w:b/>
                <w:bCs/>
                <w:sz w:val="21"/>
                <w:szCs w:val="21"/>
              </w:rPr>
              <w:t>第十四章 老年失能</w:t>
            </w:r>
          </w:p>
          <w:p>
            <w:pPr>
              <w:widowControl w:val="0"/>
              <w:snapToGrid w:val="0"/>
              <w:spacing w:line="288" w:lineRule="auto"/>
              <w:jc w:val="left"/>
              <w:rPr>
                <w:b/>
                <w:bCs/>
                <w:sz w:val="21"/>
                <w:szCs w:val="21"/>
              </w:rPr>
            </w:pPr>
            <w:r>
              <w:rPr>
                <w:rFonts w:hint="eastAsia"/>
                <w:b/>
                <w:bCs/>
                <w:sz w:val="21"/>
                <w:szCs w:val="21"/>
              </w:rPr>
              <w:t>知识点：</w:t>
            </w:r>
          </w:p>
          <w:p>
            <w:pPr>
              <w:widowControl w:val="0"/>
              <w:snapToGrid w:val="0"/>
              <w:spacing w:line="288" w:lineRule="auto"/>
              <w:jc w:val="left"/>
              <w:rPr>
                <w:color w:val="000000"/>
                <w:sz w:val="21"/>
                <w:szCs w:val="21"/>
              </w:rPr>
            </w:pPr>
            <w:r>
              <w:rPr>
                <w:rFonts w:hint="eastAsia"/>
                <w:color w:val="000000"/>
                <w:sz w:val="21"/>
                <w:szCs w:val="21"/>
              </w:rPr>
              <w:t>1、知道失能和残疾的概念。</w:t>
            </w:r>
          </w:p>
          <w:p>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知道老年常见的失能，如认知障碍、视力失能、听力失能等的流行特征、危险因素。</w:t>
            </w:r>
          </w:p>
          <w:p>
            <w:pPr>
              <w:widowControl w:val="0"/>
              <w:snapToGrid w:val="0"/>
              <w:spacing w:line="288" w:lineRule="auto"/>
              <w:jc w:val="left"/>
              <w:rPr>
                <w:color w:val="000000"/>
                <w:sz w:val="21"/>
                <w:szCs w:val="21"/>
              </w:rPr>
            </w:pPr>
            <w:r>
              <w:rPr>
                <w:rFonts w:hint="eastAsia"/>
                <w:color w:val="000000"/>
                <w:sz w:val="21"/>
                <w:szCs w:val="21"/>
              </w:rPr>
              <w:t>3、理解老年常见失能的疾病负担等。</w:t>
            </w:r>
          </w:p>
          <w:p>
            <w:pPr>
              <w:widowControl w:val="0"/>
              <w:snapToGrid w:val="0"/>
              <w:spacing w:line="288" w:lineRule="auto"/>
              <w:jc w:val="left"/>
              <w:rPr>
                <w:sz w:val="21"/>
                <w:szCs w:val="21"/>
              </w:rPr>
            </w:pPr>
            <w:r>
              <w:rPr>
                <w:rFonts w:hint="eastAsia"/>
                <w:b/>
                <w:bCs/>
                <w:sz w:val="21"/>
                <w:szCs w:val="21"/>
              </w:rPr>
              <w:t>教学难点：</w:t>
            </w:r>
          </w:p>
          <w:p>
            <w:pPr>
              <w:widowControl w:val="0"/>
              <w:snapToGrid w:val="0"/>
              <w:spacing w:line="288" w:lineRule="auto"/>
              <w:jc w:val="left"/>
              <w:rPr>
                <w:color w:val="000000"/>
                <w:sz w:val="21"/>
                <w:szCs w:val="21"/>
              </w:rPr>
            </w:pPr>
            <w:r>
              <w:rPr>
                <w:rFonts w:hint="eastAsia"/>
                <w:color w:val="000000"/>
                <w:sz w:val="21"/>
                <w:szCs w:val="21"/>
              </w:rPr>
              <w:t>老年失能的预防控制策略与措施</w:t>
            </w:r>
          </w:p>
          <w:p>
            <w:pPr>
              <w:widowControl w:val="0"/>
              <w:snapToGrid w:val="0"/>
              <w:spacing w:line="288" w:lineRule="auto"/>
              <w:jc w:val="left"/>
              <w:rPr>
                <w:color w:val="000000"/>
                <w:sz w:val="21"/>
                <w:szCs w:val="21"/>
              </w:rPr>
            </w:pPr>
            <w:r>
              <w:rPr>
                <w:rFonts w:hint="eastAsia"/>
                <w:b/>
                <w:bCs/>
                <w:sz w:val="21"/>
                <w:szCs w:val="21"/>
              </w:rPr>
              <w:t>能力要求：</w:t>
            </w:r>
            <w:r>
              <w:rPr>
                <w:rFonts w:hint="eastAsia"/>
                <w:color w:val="000000"/>
                <w:sz w:val="21"/>
                <w:szCs w:val="21"/>
              </w:rPr>
              <w:t>能运用本章知识，提出老年失能的预防控制策略。</w:t>
            </w:r>
          </w:p>
        </w:tc>
      </w:tr>
      <w:bookmarkEnd w:id="0"/>
      <w:bookmarkEnd w:id="1"/>
    </w:tbl>
    <w:p>
      <w:pPr>
        <w:pStyle w:val="19"/>
      </w:pPr>
      <w:r>
        <w:rPr>
          <w:rFonts w:hint="eastAsia"/>
        </w:rPr>
        <w:t>（二）教学单元对课程目标的支撑关系</w:t>
      </w:r>
    </w:p>
    <w:tbl>
      <w:tblPr>
        <w:tblStyle w:val="9"/>
        <w:tblW w:w="45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027"/>
        <w:gridCol w:w="1734"/>
        <w:gridCol w:w="1535"/>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5" w:hRule="atLeast"/>
          <w:jc w:val="center"/>
        </w:trPr>
        <w:tc>
          <w:tcPr>
            <w:tcW w:w="3031" w:type="dxa"/>
            <w:tcBorders>
              <w:top w:val="single" w:color="auto" w:sz="12" w:space="0"/>
              <w:left w:val="single" w:color="auto" w:sz="12" w:space="0"/>
              <w:tl2br w:val="single" w:color="auto" w:sz="4" w:space="0"/>
            </w:tcBorders>
          </w:tcPr>
          <w:p>
            <w:pPr>
              <w:pStyle w:val="15"/>
              <w:ind w:firstLine="489"/>
              <w:jc w:val="right"/>
              <w:rPr>
                <w:rFonts w:hint="eastAsia"/>
                <w:szCs w:val="16"/>
              </w:rPr>
            </w:pPr>
            <w:r>
              <w:rPr>
                <w:rFonts w:hint="eastAsia"/>
                <w:szCs w:val="16"/>
              </w:rPr>
              <w:t>课程目标</w:t>
            </w:r>
          </w:p>
          <w:p>
            <w:pPr>
              <w:pStyle w:val="15"/>
              <w:ind w:right="210"/>
              <w:jc w:val="left"/>
              <w:rPr>
                <w:szCs w:val="16"/>
              </w:rPr>
            </w:pPr>
            <w:r>
              <w:rPr>
                <w:rFonts w:hint="eastAsia"/>
                <w:szCs w:val="16"/>
              </w:rPr>
              <w:t>教学单元</w:t>
            </w:r>
          </w:p>
        </w:tc>
        <w:tc>
          <w:tcPr>
            <w:tcW w:w="1733" w:type="dxa"/>
            <w:tcBorders>
              <w:top w:val="single" w:color="auto" w:sz="12" w:space="0"/>
            </w:tcBorders>
            <w:vAlign w:val="center"/>
          </w:tcPr>
          <w:p>
            <w:pPr>
              <w:pStyle w:val="15"/>
              <w:rPr>
                <w:szCs w:val="16"/>
              </w:rPr>
            </w:pPr>
            <w:r>
              <w:rPr>
                <w:rFonts w:hint="eastAsia"/>
                <w:szCs w:val="16"/>
              </w:rPr>
              <w:t>1</w:t>
            </w:r>
          </w:p>
        </w:tc>
        <w:tc>
          <w:tcPr>
            <w:tcW w:w="1534" w:type="dxa"/>
            <w:tcBorders>
              <w:top w:val="single" w:color="auto" w:sz="12" w:space="0"/>
            </w:tcBorders>
            <w:vAlign w:val="center"/>
          </w:tcPr>
          <w:p>
            <w:pPr>
              <w:pStyle w:val="15"/>
              <w:rPr>
                <w:szCs w:val="16"/>
              </w:rPr>
            </w:pPr>
            <w:r>
              <w:rPr>
                <w:rFonts w:hint="eastAsia"/>
                <w:szCs w:val="16"/>
              </w:rPr>
              <w:t>2</w:t>
            </w:r>
          </w:p>
        </w:tc>
        <w:tc>
          <w:tcPr>
            <w:tcW w:w="1407" w:type="dxa"/>
            <w:tcBorders>
              <w:top w:val="single" w:color="auto" w:sz="12" w:space="0"/>
            </w:tcBorders>
            <w:vAlign w:val="center"/>
          </w:tcPr>
          <w:p>
            <w:pPr>
              <w:pStyle w:val="15"/>
              <w:rPr>
                <w:szCs w:val="16"/>
              </w:rPr>
            </w:pPr>
            <w:r>
              <w:rPr>
                <w:rFonts w:hint="eastAsia"/>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31" w:type="dxa"/>
            <w:tcBorders>
              <w:left w:val="single" w:color="auto" w:sz="12" w:space="0"/>
            </w:tcBorders>
          </w:tcPr>
          <w:p>
            <w:pPr>
              <w:pStyle w:val="16"/>
            </w:pPr>
            <w:r>
              <w:rPr>
                <w:rFonts w:hint="eastAsia"/>
              </w:rPr>
              <w:t>1.概述</w:t>
            </w:r>
          </w:p>
        </w:tc>
        <w:tc>
          <w:tcPr>
            <w:tcW w:w="1733" w:type="dxa"/>
            <w:vAlign w:val="center"/>
          </w:tcPr>
          <w:p>
            <w:pPr>
              <w:pStyle w:val="16"/>
            </w:pPr>
            <w:r>
              <w:t>√</w:t>
            </w:r>
          </w:p>
        </w:tc>
        <w:tc>
          <w:tcPr>
            <w:tcW w:w="1534" w:type="dxa"/>
            <w:vAlign w:val="center"/>
          </w:tcPr>
          <w:p>
            <w:pPr>
              <w:pStyle w:val="16"/>
            </w:pPr>
          </w:p>
        </w:tc>
        <w:tc>
          <w:tcPr>
            <w:tcW w:w="1407" w:type="dxa"/>
            <w:vAlign w:val="center"/>
          </w:tcPr>
          <w:p>
            <w:pPr>
              <w:pStyle w:val="16"/>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31" w:type="dxa"/>
            <w:tcBorders>
              <w:left w:val="single" w:color="auto" w:sz="12" w:space="0"/>
            </w:tcBorders>
          </w:tcPr>
          <w:p>
            <w:pPr>
              <w:pStyle w:val="16"/>
            </w:pPr>
            <w:r>
              <w:rPr>
                <w:rFonts w:hint="eastAsia"/>
              </w:rPr>
              <w:t>2.老年健康特征</w:t>
            </w:r>
          </w:p>
        </w:tc>
        <w:tc>
          <w:tcPr>
            <w:tcW w:w="1733" w:type="dxa"/>
            <w:vAlign w:val="center"/>
          </w:tcPr>
          <w:p>
            <w:pPr>
              <w:pStyle w:val="16"/>
            </w:pPr>
            <w:r>
              <w:t>√</w:t>
            </w:r>
          </w:p>
        </w:tc>
        <w:tc>
          <w:tcPr>
            <w:tcW w:w="1534" w:type="dxa"/>
            <w:vAlign w:val="center"/>
          </w:tcPr>
          <w:p>
            <w:pPr>
              <w:pStyle w:val="16"/>
            </w:pPr>
            <w:r>
              <w:t>√</w:t>
            </w:r>
          </w:p>
        </w:tc>
        <w:tc>
          <w:tcPr>
            <w:tcW w:w="1407" w:type="dxa"/>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31" w:type="dxa"/>
            <w:tcBorders>
              <w:left w:val="single" w:color="auto" w:sz="12" w:space="0"/>
            </w:tcBorders>
          </w:tcPr>
          <w:p>
            <w:pPr>
              <w:pStyle w:val="16"/>
            </w:pPr>
            <w:r>
              <w:rPr>
                <w:rFonts w:hint="eastAsia"/>
              </w:rPr>
              <w:t>3.衰老与功能障碍</w:t>
            </w:r>
          </w:p>
        </w:tc>
        <w:tc>
          <w:tcPr>
            <w:tcW w:w="1733" w:type="dxa"/>
            <w:vAlign w:val="center"/>
          </w:tcPr>
          <w:p>
            <w:pPr>
              <w:pStyle w:val="16"/>
            </w:pPr>
          </w:p>
        </w:tc>
        <w:tc>
          <w:tcPr>
            <w:tcW w:w="1534" w:type="dxa"/>
            <w:vAlign w:val="center"/>
          </w:tcPr>
          <w:p>
            <w:pPr>
              <w:pStyle w:val="16"/>
            </w:pPr>
            <w:r>
              <w:t>√</w:t>
            </w:r>
          </w:p>
        </w:tc>
        <w:tc>
          <w:tcPr>
            <w:tcW w:w="1407" w:type="dxa"/>
            <w:vAlign w:val="center"/>
          </w:tcPr>
          <w:p>
            <w:pPr>
              <w:pStyle w:val="16"/>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31" w:type="dxa"/>
            <w:tcBorders>
              <w:left w:val="single" w:color="auto" w:sz="12" w:space="0"/>
            </w:tcBorders>
          </w:tcPr>
          <w:p>
            <w:pPr>
              <w:pStyle w:val="16"/>
            </w:pPr>
            <w:r>
              <w:rPr>
                <w:rFonts w:hint="eastAsia"/>
              </w:rPr>
              <w:t>4.老年疾病流行特征</w:t>
            </w:r>
          </w:p>
        </w:tc>
        <w:tc>
          <w:tcPr>
            <w:tcW w:w="1733" w:type="dxa"/>
            <w:vAlign w:val="center"/>
          </w:tcPr>
          <w:p>
            <w:pPr>
              <w:pStyle w:val="16"/>
            </w:pPr>
            <w:r>
              <w:t>√</w:t>
            </w:r>
          </w:p>
        </w:tc>
        <w:tc>
          <w:tcPr>
            <w:tcW w:w="1534" w:type="dxa"/>
            <w:vAlign w:val="center"/>
          </w:tcPr>
          <w:p>
            <w:pPr>
              <w:pStyle w:val="16"/>
            </w:pPr>
            <w:r>
              <w:t>√</w:t>
            </w:r>
          </w:p>
        </w:tc>
        <w:tc>
          <w:tcPr>
            <w:tcW w:w="1407" w:type="dxa"/>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31" w:type="dxa"/>
            <w:tcBorders>
              <w:left w:val="single" w:color="auto" w:sz="12" w:space="0"/>
            </w:tcBorders>
          </w:tcPr>
          <w:p>
            <w:pPr>
              <w:pStyle w:val="16"/>
            </w:pPr>
            <w:r>
              <w:rPr>
                <w:rFonts w:hint="eastAsia"/>
              </w:rPr>
              <w:t>5.老年健康测评</w:t>
            </w:r>
          </w:p>
        </w:tc>
        <w:tc>
          <w:tcPr>
            <w:tcW w:w="1733" w:type="dxa"/>
            <w:vAlign w:val="center"/>
          </w:tcPr>
          <w:p>
            <w:pPr>
              <w:pStyle w:val="16"/>
            </w:pPr>
            <w:r>
              <w:t>√</w:t>
            </w:r>
          </w:p>
        </w:tc>
        <w:tc>
          <w:tcPr>
            <w:tcW w:w="1534" w:type="dxa"/>
            <w:vAlign w:val="center"/>
          </w:tcPr>
          <w:p>
            <w:pPr>
              <w:pStyle w:val="16"/>
            </w:pPr>
            <w:r>
              <w:t>√</w:t>
            </w:r>
          </w:p>
        </w:tc>
        <w:tc>
          <w:tcPr>
            <w:tcW w:w="1407" w:type="dxa"/>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31" w:type="dxa"/>
            <w:tcBorders>
              <w:left w:val="single" w:color="auto" w:sz="12" w:space="0"/>
            </w:tcBorders>
          </w:tcPr>
          <w:p>
            <w:pPr>
              <w:pStyle w:val="16"/>
            </w:pPr>
            <w:r>
              <w:rPr>
                <w:rFonts w:hint="eastAsia"/>
              </w:rPr>
              <w:t>6.全球老年疾病负担</w:t>
            </w:r>
          </w:p>
        </w:tc>
        <w:tc>
          <w:tcPr>
            <w:tcW w:w="1733" w:type="dxa"/>
            <w:vAlign w:val="center"/>
          </w:tcPr>
          <w:p>
            <w:pPr>
              <w:pStyle w:val="16"/>
            </w:pPr>
          </w:p>
        </w:tc>
        <w:tc>
          <w:tcPr>
            <w:tcW w:w="1534" w:type="dxa"/>
            <w:vAlign w:val="center"/>
          </w:tcPr>
          <w:p>
            <w:pPr>
              <w:pStyle w:val="16"/>
            </w:pPr>
          </w:p>
        </w:tc>
        <w:tc>
          <w:tcPr>
            <w:tcW w:w="1407" w:type="dxa"/>
            <w:vAlign w:val="center"/>
          </w:tcPr>
          <w:p>
            <w:pPr>
              <w:pStyle w:val="16"/>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31" w:type="dxa"/>
            <w:tcBorders>
              <w:left w:val="single" w:color="auto" w:sz="12" w:space="0"/>
            </w:tcBorders>
          </w:tcPr>
          <w:p>
            <w:pPr>
              <w:pStyle w:val="16"/>
            </w:pPr>
            <w:r>
              <w:rPr>
                <w:rFonts w:hint="eastAsia"/>
              </w:rPr>
              <w:t>7.老年健康全球策略</w:t>
            </w:r>
          </w:p>
        </w:tc>
        <w:tc>
          <w:tcPr>
            <w:tcW w:w="1733" w:type="dxa"/>
            <w:vAlign w:val="center"/>
          </w:tcPr>
          <w:p>
            <w:pPr>
              <w:pStyle w:val="16"/>
            </w:pPr>
          </w:p>
        </w:tc>
        <w:tc>
          <w:tcPr>
            <w:tcW w:w="1534" w:type="dxa"/>
            <w:vAlign w:val="center"/>
          </w:tcPr>
          <w:p>
            <w:pPr>
              <w:pStyle w:val="16"/>
            </w:pPr>
            <w:r>
              <w:t>√</w:t>
            </w:r>
          </w:p>
        </w:tc>
        <w:tc>
          <w:tcPr>
            <w:tcW w:w="1407" w:type="dxa"/>
            <w:vAlign w:val="center"/>
          </w:tcPr>
          <w:p>
            <w:pPr>
              <w:pStyle w:val="16"/>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31" w:type="dxa"/>
            <w:tcBorders>
              <w:left w:val="single" w:color="auto" w:sz="12" w:space="0"/>
            </w:tcBorders>
          </w:tcPr>
          <w:p>
            <w:pPr>
              <w:pStyle w:val="16"/>
            </w:pPr>
            <w:r>
              <w:rPr>
                <w:rFonts w:hint="eastAsia"/>
              </w:rPr>
              <w:t>8.老年健康公共政策体系</w:t>
            </w:r>
          </w:p>
        </w:tc>
        <w:tc>
          <w:tcPr>
            <w:tcW w:w="1733" w:type="dxa"/>
            <w:vAlign w:val="center"/>
          </w:tcPr>
          <w:p>
            <w:pPr>
              <w:pStyle w:val="16"/>
            </w:pPr>
          </w:p>
        </w:tc>
        <w:tc>
          <w:tcPr>
            <w:tcW w:w="1534" w:type="dxa"/>
            <w:vAlign w:val="center"/>
          </w:tcPr>
          <w:p>
            <w:pPr>
              <w:pStyle w:val="16"/>
            </w:pPr>
            <w:r>
              <w:t>√</w:t>
            </w:r>
          </w:p>
        </w:tc>
        <w:tc>
          <w:tcPr>
            <w:tcW w:w="1407" w:type="dxa"/>
            <w:vAlign w:val="center"/>
          </w:tcPr>
          <w:p>
            <w:pPr>
              <w:pStyle w:val="16"/>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04" w:hRule="atLeast"/>
          <w:jc w:val="center"/>
        </w:trPr>
        <w:tc>
          <w:tcPr>
            <w:tcW w:w="3031" w:type="dxa"/>
            <w:tcBorders>
              <w:left w:val="single" w:color="auto" w:sz="12" w:space="0"/>
            </w:tcBorders>
          </w:tcPr>
          <w:p>
            <w:pPr>
              <w:pStyle w:val="16"/>
            </w:pPr>
            <w:r>
              <w:rPr>
                <w:rFonts w:hint="eastAsia"/>
              </w:rPr>
              <w:t>9.老年健康促进</w:t>
            </w:r>
          </w:p>
        </w:tc>
        <w:tc>
          <w:tcPr>
            <w:tcW w:w="1733" w:type="dxa"/>
            <w:vAlign w:val="center"/>
          </w:tcPr>
          <w:p>
            <w:pPr>
              <w:pStyle w:val="16"/>
            </w:pPr>
            <w:r>
              <w:t>√</w:t>
            </w:r>
          </w:p>
        </w:tc>
        <w:tc>
          <w:tcPr>
            <w:tcW w:w="1534" w:type="dxa"/>
            <w:vAlign w:val="center"/>
          </w:tcPr>
          <w:p>
            <w:pPr>
              <w:pStyle w:val="16"/>
            </w:pPr>
            <w:r>
              <w:t>√</w:t>
            </w:r>
          </w:p>
        </w:tc>
        <w:tc>
          <w:tcPr>
            <w:tcW w:w="1407" w:type="dxa"/>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31" w:type="dxa"/>
            <w:tcBorders>
              <w:left w:val="single" w:color="auto" w:sz="12" w:space="0"/>
            </w:tcBorders>
          </w:tcPr>
          <w:p>
            <w:pPr>
              <w:pStyle w:val="16"/>
            </w:pPr>
            <w:r>
              <w:rPr>
                <w:rFonts w:hint="eastAsia"/>
              </w:rPr>
              <w:t>10.老年长期照料</w:t>
            </w:r>
          </w:p>
        </w:tc>
        <w:tc>
          <w:tcPr>
            <w:tcW w:w="1733" w:type="dxa"/>
            <w:vAlign w:val="center"/>
          </w:tcPr>
          <w:p>
            <w:pPr>
              <w:pStyle w:val="16"/>
            </w:pPr>
            <w:r>
              <w:t>√</w:t>
            </w:r>
          </w:p>
        </w:tc>
        <w:tc>
          <w:tcPr>
            <w:tcW w:w="1534" w:type="dxa"/>
            <w:vAlign w:val="center"/>
          </w:tcPr>
          <w:p>
            <w:pPr>
              <w:pStyle w:val="16"/>
            </w:pPr>
            <w:r>
              <w:t>√</w:t>
            </w:r>
          </w:p>
        </w:tc>
        <w:tc>
          <w:tcPr>
            <w:tcW w:w="1407" w:type="dxa"/>
            <w:vAlign w:val="center"/>
          </w:tcPr>
          <w:p>
            <w:pPr>
              <w:pStyle w:val="16"/>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31" w:type="dxa"/>
            <w:tcBorders>
              <w:left w:val="single" w:color="auto" w:sz="12" w:space="0"/>
            </w:tcBorders>
          </w:tcPr>
          <w:p>
            <w:pPr>
              <w:pStyle w:val="16"/>
            </w:pPr>
            <w:r>
              <w:rPr>
                <w:rFonts w:hint="eastAsia"/>
              </w:rPr>
              <w:t>11.老年健康全球治理</w:t>
            </w:r>
          </w:p>
        </w:tc>
        <w:tc>
          <w:tcPr>
            <w:tcW w:w="1733" w:type="dxa"/>
            <w:vAlign w:val="center"/>
          </w:tcPr>
          <w:p>
            <w:pPr>
              <w:pStyle w:val="16"/>
            </w:pPr>
            <w:r>
              <w:t>√</w:t>
            </w:r>
          </w:p>
        </w:tc>
        <w:tc>
          <w:tcPr>
            <w:tcW w:w="1534" w:type="dxa"/>
            <w:vAlign w:val="center"/>
          </w:tcPr>
          <w:p>
            <w:pPr>
              <w:pStyle w:val="16"/>
            </w:pPr>
          </w:p>
        </w:tc>
        <w:tc>
          <w:tcPr>
            <w:tcW w:w="1407" w:type="dxa"/>
            <w:vAlign w:val="center"/>
          </w:tcPr>
          <w:p>
            <w:pPr>
              <w:pStyle w:val="16"/>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31" w:type="dxa"/>
            <w:tcBorders>
              <w:left w:val="single" w:color="auto" w:sz="12" w:space="0"/>
            </w:tcBorders>
          </w:tcPr>
          <w:p>
            <w:pPr>
              <w:pStyle w:val="16"/>
            </w:pPr>
            <w:r>
              <w:rPr>
                <w:rFonts w:hint="eastAsia"/>
              </w:rPr>
              <w:t>12.老年慢性非传染性疾病</w:t>
            </w:r>
          </w:p>
        </w:tc>
        <w:tc>
          <w:tcPr>
            <w:tcW w:w="1733" w:type="dxa"/>
            <w:vAlign w:val="center"/>
          </w:tcPr>
          <w:p>
            <w:pPr>
              <w:pStyle w:val="16"/>
            </w:pPr>
            <w:r>
              <w:t>√</w:t>
            </w:r>
          </w:p>
        </w:tc>
        <w:tc>
          <w:tcPr>
            <w:tcW w:w="1534" w:type="dxa"/>
            <w:vAlign w:val="center"/>
          </w:tcPr>
          <w:p>
            <w:pPr>
              <w:pStyle w:val="16"/>
            </w:pPr>
          </w:p>
        </w:tc>
        <w:tc>
          <w:tcPr>
            <w:tcW w:w="1407" w:type="dxa"/>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31" w:type="dxa"/>
            <w:tcBorders>
              <w:left w:val="single" w:color="auto" w:sz="12" w:space="0"/>
            </w:tcBorders>
          </w:tcPr>
          <w:p>
            <w:pPr>
              <w:pStyle w:val="16"/>
            </w:pPr>
            <w:r>
              <w:rPr>
                <w:rFonts w:hint="eastAsia"/>
              </w:rPr>
              <w:t>13</w:t>
            </w:r>
            <w:r>
              <w:t>.</w:t>
            </w:r>
            <w:r>
              <w:rPr>
                <w:rFonts w:hint="eastAsia"/>
              </w:rPr>
              <w:t>全球老年传染性疾病</w:t>
            </w:r>
          </w:p>
        </w:tc>
        <w:tc>
          <w:tcPr>
            <w:tcW w:w="1733" w:type="dxa"/>
            <w:vAlign w:val="center"/>
          </w:tcPr>
          <w:p>
            <w:pPr>
              <w:pStyle w:val="16"/>
            </w:pPr>
            <w:r>
              <w:t>√</w:t>
            </w:r>
          </w:p>
        </w:tc>
        <w:tc>
          <w:tcPr>
            <w:tcW w:w="1534" w:type="dxa"/>
            <w:vAlign w:val="center"/>
          </w:tcPr>
          <w:p>
            <w:pPr>
              <w:pStyle w:val="16"/>
            </w:pPr>
          </w:p>
        </w:tc>
        <w:tc>
          <w:tcPr>
            <w:tcW w:w="1407" w:type="dxa"/>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31" w:type="dxa"/>
            <w:tcBorders>
              <w:left w:val="single" w:color="auto" w:sz="12" w:space="0"/>
              <w:bottom w:val="single" w:color="auto" w:sz="12" w:space="0"/>
            </w:tcBorders>
          </w:tcPr>
          <w:p>
            <w:pPr>
              <w:pStyle w:val="16"/>
            </w:pPr>
            <w:r>
              <w:rPr>
                <w:rFonts w:hint="eastAsia"/>
              </w:rPr>
              <w:t>14.老年失能</w:t>
            </w:r>
          </w:p>
        </w:tc>
        <w:tc>
          <w:tcPr>
            <w:tcW w:w="1733" w:type="dxa"/>
            <w:tcBorders>
              <w:bottom w:val="single" w:color="auto" w:sz="12" w:space="0"/>
            </w:tcBorders>
            <w:vAlign w:val="center"/>
          </w:tcPr>
          <w:p>
            <w:pPr>
              <w:pStyle w:val="16"/>
            </w:pPr>
          </w:p>
        </w:tc>
        <w:tc>
          <w:tcPr>
            <w:tcW w:w="1534" w:type="dxa"/>
            <w:tcBorders>
              <w:bottom w:val="single" w:color="auto" w:sz="12" w:space="0"/>
            </w:tcBorders>
            <w:vAlign w:val="center"/>
          </w:tcPr>
          <w:p>
            <w:pPr>
              <w:pStyle w:val="16"/>
            </w:pPr>
            <w:r>
              <w:t>√</w:t>
            </w:r>
          </w:p>
        </w:tc>
        <w:tc>
          <w:tcPr>
            <w:tcW w:w="1407" w:type="dxa"/>
            <w:tcBorders>
              <w:bottom w:val="single" w:color="auto" w:sz="12" w:space="0"/>
            </w:tcBorders>
            <w:vAlign w:val="center"/>
          </w:tcPr>
          <w:p>
            <w:pPr>
              <w:pStyle w:val="16"/>
            </w:pPr>
            <w:r>
              <w:t>√</w:t>
            </w:r>
          </w:p>
        </w:tc>
      </w:tr>
    </w:tbl>
    <w:p>
      <w:pPr>
        <w:pStyle w:val="19"/>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598"/>
        <w:gridCol w:w="2009"/>
        <w:gridCol w:w="1740"/>
        <w:gridCol w:w="730"/>
        <w:gridCol w:w="675"/>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537"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1962" w:type="dxa"/>
            <w:vMerge w:val="restart"/>
            <w:tcBorders>
              <w:top w:val="single" w:color="auto" w:sz="12" w:space="0"/>
            </w:tcBorders>
            <w:vAlign w:val="center"/>
          </w:tcPr>
          <w:p>
            <w:pPr>
              <w:pStyle w:val="15"/>
              <w:widowControl w:val="0"/>
              <w:rPr>
                <w:szCs w:val="21"/>
              </w:rPr>
            </w:pPr>
            <w:r>
              <w:rPr>
                <w:rFonts w:hint="eastAsia" w:ascii="黑体" w:hAnsi="黑体"/>
                <w:szCs w:val="21"/>
              </w:rPr>
              <w:t>教与学方式</w:t>
            </w:r>
          </w:p>
        </w:tc>
        <w:tc>
          <w:tcPr>
            <w:tcW w:w="1699" w:type="dxa"/>
            <w:vMerge w:val="restart"/>
            <w:tcBorders>
              <w:top w:val="single" w:color="auto" w:sz="12" w:space="0"/>
            </w:tcBorders>
            <w:vAlign w:val="center"/>
          </w:tcPr>
          <w:p>
            <w:pPr>
              <w:pStyle w:val="15"/>
              <w:widowControl w:val="0"/>
              <w:rPr>
                <w:rFonts w:ascii="黑体" w:hAnsi="黑体"/>
                <w:szCs w:val="21"/>
              </w:rPr>
            </w:pPr>
            <w:r>
              <w:rPr>
                <w:rFonts w:hint="eastAsia" w:ascii="黑体" w:hAnsi="黑体"/>
                <w:szCs w:val="21"/>
              </w:rPr>
              <w:t>考核方式</w:t>
            </w:r>
          </w:p>
        </w:tc>
        <w:tc>
          <w:tcPr>
            <w:tcW w:w="2078" w:type="dxa"/>
            <w:gridSpan w:val="3"/>
            <w:tcBorders>
              <w:top w:val="single" w:color="auto" w:sz="12" w:space="0"/>
              <w:right w:val="single" w:color="auto" w:sz="12" w:space="0"/>
            </w:tcBorders>
            <w:vAlign w:val="center"/>
          </w:tcPr>
          <w:p>
            <w:pPr>
              <w:pStyle w:val="15"/>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537"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1962" w:type="dxa"/>
            <w:vMerge w:val="continue"/>
          </w:tcPr>
          <w:p>
            <w:pPr>
              <w:widowControl w:val="0"/>
              <w:snapToGrid w:val="0"/>
              <w:jc w:val="center"/>
              <w:rPr>
                <w:rFonts w:ascii="黑体" w:hAnsi="黑体" w:eastAsia="黑体"/>
                <w:bCs/>
                <w:sz w:val="21"/>
                <w:szCs w:val="21"/>
              </w:rPr>
            </w:pPr>
          </w:p>
        </w:tc>
        <w:tc>
          <w:tcPr>
            <w:tcW w:w="1699" w:type="dxa"/>
            <w:vMerge w:val="continue"/>
          </w:tcPr>
          <w:p>
            <w:pPr>
              <w:widowControl w:val="0"/>
              <w:snapToGrid w:val="0"/>
              <w:jc w:val="center"/>
              <w:rPr>
                <w:rFonts w:ascii="黑体" w:hAnsi="黑体" w:eastAsia="黑体"/>
                <w:bCs/>
                <w:sz w:val="21"/>
                <w:szCs w:val="21"/>
              </w:rPr>
            </w:pPr>
          </w:p>
        </w:tc>
        <w:tc>
          <w:tcPr>
            <w:tcW w:w="713"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6"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2537" w:type="dxa"/>
            <w:tcBorders>
              <w:left w:val="single" w:color="auto" w:sz="12" w:space="0"/>
            </w:tcBorders>
          </w:tcPr>
          <w:p>
            <w:pPr>
              <w:pStyle w:val="16"/>
            </w:pPr>
            <w:r>
              <w:rPr>
                <w:rFonts w:hint="eastAsia"/>
              </w:rPr>
              <w:t>1.概述</w:t>
            </w:r>
          </w:p>
        </w:tc>
        <w:tc>
          <w:tcPr>
            <w:tcW w:w="1962" w:type="dxa"/>
            <w:vAlign w:val="center"/>
          </w:tcPr>
          <w:p>
            <w:pPr>
              <w:widowControl/>
              <w:jc w:val="center"/>
              <w:rPr>
                <w:rFonts w:cs="Arial"/>
                <w:sz w:val="21"/>
                <w:szCs w:val="21"/>
              </w:rPr>
            </w:pPr>
            <w:r>
              <w:rPr>
                <w:rFonts w:hint="eastAsia" w:cs="Arial"/>
                <w:sz w:val="21"/>
                <w:szCs w:val="21"/>
              </w:rPr>
              <w:t>讲授</w:t>
            </w:r>
          </w:p>
        </w:tc>
        <w:tc>
          <w:tcPr>
            <w:tcW w:w="169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课堂提问</w:t>
            </w:r>
          </w:p>
        </w:tc>
        <w:tc>
          <w:tcPr>
            <w:tcW w:w="71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6"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37" w:type="dxa"/>
            <w:tcBorders>
              <w:left w:val="single" w:color="auto" w:sz="12" w:space="0"/>
            </w:tcBorders>
          </w:tcPr>
          <w:p>
            <w:pPr>
              <w:pStyle w:val="16"/>
            </w:pPr>
            <w:r>
              <w:rPr>
                <w:rFonts w:hint="eastAsia"/>
              </w:rPr>
              <w:t>2.老年健康特征</w:t>
            </w:r>
          </w:p>
        </w:tc>
        <w:tc>
          <w:tcPr>
            <w:tcW w:w="1962" w:type="dxa"/>
            <w:vAlign w:val="center"/>
          </w:tcPr>
          <w:p>
            <w:pPr>
              <w:widowControl/>
              <w:jc w:val="center"/>
              <w:rPr>
                <w:rFonts w:cs="Arial"/>
                <w:sz w:val="21"/>
                <w:szCs w:val="21"/>
              </w:rPr>
            </w:pPr>
            <w:r>
              <w:rPr>
                <w:rFonts w:hint="eastAsia" w:cs="Arial"/>
                <w:sz w:val="21"/>
                <w:szCs w:val="21"/>
              </w:rPr>
              <w:t>讲授+讨论</w:t>
            </w:r>
          </w:p>
        </w:tc>
        <w:tc>
          <w:tcPr>
            <w:tcW w:w="169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课堂提问</w:t>
            </w:r>
          </w:p>
        </w:tc>
        <w:tc>
          <w:tcPr>
            <w:tcW w:w="71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6"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37" w:type="dxa"/>
            <w:tcBorders>
              <w:left w:val="single" w:color="auto" w:sz="12" w:space="0"/>
            </w:tcBorders>
          </w:tcPr>
          <w:p>
            <w:pPr>
              <w:pStyle w:val="16"/>
            </w:pPr>
            <w:r>
              <w:rPr>
                <w:rFonts w:hint="eastAsia"/>
              </w:rPr>
              <w:t>3.衰老与功能障碍</w:t>
            </w:r>
          </w:p>
        </w:tc>
        <w:tc>
          <w:tcPr>
            <w:tcW w:w="1962" w:type="dxa"/>
            <w:vAlign w:val="center"/>
          </w:tcPr>
          <w:p>
            <w:pPr>
              <w:widowControl/>
              <w:jc w:val="center"/>
              <w:rPr>
                <w:rFonts w:cs="Arial"/>
                <w:sz w:val="21"/>
                <w:szCs w:val="21"/>
              </w:rPr>
            </w:pPr>
            <w:r>
              <w:rPr>
                <w:rFonts w:hint="eastAsia" w:cs="Arial"/>
                <w:sz w:val="21"/>
                <w:szCs w:val="21"/>
              </w:rPr>
              <w:t>讲授+案例分析</w:t>
            </w:r>
          </w:p>
        </w:tc>
        <w:tc>
          <w:tcPr>
            <w:tcW w:w="1699" w:type="dxa"/>
            <w:vAlign w:val="center"/>
          </w:tcPr>
          <w:p>
            <w:pPr>
              <w:widowControl/>
              <w:jc w:val="center"/>
              <w:rPr>
                <w:rFonts w:cs="Arial"/>
                <w:sz w:val="21"/>
                <w:szCs w:val="21"/>
              </w:rPr>
            </w:pPr>
            <w:r>
              <w:rPr>
                <w:rFonts w:hint="eastAsia" w:cs="Arial"/>
                <w:sz w:val="21"/>
                <w:szCs w:val="21"/>
              </w:rPr>
              <w:t>案例分析</w:t>
            </w:r>
          </w:p>
        </w:tc>
        <w:tc>
          <w:tcPr>
            <w:tcW w:w="71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6"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37" w:type="dxa"/>
            <w:tcBorders>
              <w:left w:val="single" w:color="auto" w:sz="12" w:space="0"/>
            </w:tcBorders>
          </w:tcPr>
          <w:p>
            <w:pPr>
              <w:pStyle w:val="16"/>
            </w:pPr>
            <w:r>
              <w:rPr>
                <w:rFonts w:hint="eastAsia"/>
              </w:rPr>
              <w:t>4.老年疾病流行特征</w:t>
            </w:r>
          </w:p>
        </w:tc>
        <w:tc>
          <w:tcPr>
            <w:tcW w:w="1962" w:type="dxa"/>
            <w:vAlign w:val="center"/>
          </w:tcPr>
          <w:p>
            <w:pPr>
              <w:widowControl/>
              <w:jc w:val="center"/>
              <w:rPr>
                <w:rFonts w:cs="Arial"/>
                <w:sz w:val="21"/>
                <w:szCs w:val="21"/>
              </w:rPr>
            </w:pPr>
            <w:r>
              <w:rPr>
                <w:rFonts w:hint="eastAsia" w:cs="Arial"/>
                <w:sz w:val="21"/>
                <w:szCs w:val="21"/>
              </w:rPr>
              <w:t>教讲授+课堂练习</w:t>
            </w:r>
          </w:p>
        </w:tc>
        <w:tc>
          <w:tcPr>
            <w:tcW w:w="1699" w:type="dxa"/>
            <w:vAlign w:val="center"/>
          </w:tcPr>
          <w:p>
            <w:pPr>
              <w:widowControl/>
              <w:jc w:val="center"/>
              <w:rPr>
                <w:rFonts w:cs="Arial"/>
                <w:sz w:val="21"/>
                <w:szCs w:val="21"/>
              </w:rPr>
            </w:pPr>
            <w:r>
              <w:rPr>
                <w:rFonts w:hint="eastAsia" w:cs="Arial"/>
                <w:sz w:val="21"/>
                <w:szCs w:val="21"/>
              </w:rPr>
              <w:t>期末考试</w:t>
            </w:r>
          </w:p>
        </w:tc>
        <w:tc>
          <w:tcPr>
            <w:tcW w:w="71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6"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37" w:type="dxa"/>
            <w:tcBorders>
              <w:left w:val="single" w:color="auto" w:sz="12" w:space="0"/>
            </w:tcBorders>
          </w:tcPr>
          <w:p>
            <w:pPr>
              <w:pStyle w:val="16"/>
            </w:pPr>
            <w:r>
              <w:rPr>
                <w:rFonts w:hint="eastAsia"/>
              </w:rPr>
              <w:t>5.老年健康测评</w:t>
            </w:r>
          </w:p>
        </w:tc>
        <w:tc>
          <w:tcPr>
            <w:tcW w:w="1962" w:type="dxa"/>
            <w:vAlign w:val="center"/>
          </w:tcPr>
          <w:p>
            <w:pPr>
              <w:widowControl/>
              <w:jc w:val="center"/>
              <w:rPr>
                <w:rFonts w:cs="Arial"/>
                <w:sz w:val="21"/>
                <w:szCs w:val="21"/>
              </w:rPr>
            </w:pPr>
            <w:r>
              <w:rPr>
                <w:rFonts w:hint="eastAsia" w:cs="Arial"/>
                <w:sz w:val="21"/>
                <w:szCs w:val="21"/>
              </w:rPr>
              <w:t>讲授</w:t>
            </w:r>
          </w:p>
        </w:tc>
        <w:tc>
          <w:tcPr>
            <w:tcW w:w="1699" w:type="dxa"/>
            <w:vAlign w:val="center"/>
          </w:tcPr>
          <w:p>
            <w:pPr>
              <w:widowControl/>
              <w:jc w:val="center"/>
              <w:rPr>
                <w:rFonts w:cs="Arial"/>
                <w:sz w:val="21"/>
                <w:szCs w:val="21"/>
              </w:rPr>
            </w:pPr>
            <w:r>
              <w:rPr>
                <w:rFonts w:hint="eastAsia" w:cs="Arial"/>
                <w:sz w:val="21"/>
                <w:szCs w:val="21"/>
              </w:rPr>
              <w:t>健康测评</w:t>
            </w:r>
          </w:p>
        </w:tc>
        <w:tc>
          <w:tcPr>
            <w:tcW w:w="71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5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06"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37" w:type="dxa"/>
            <w:tcBorders>
              <w:left w:val="single" w:color="auto" w:sz="12" w:space="0"/>
            </w:tcBorders>
          </w:tcPr>
          <w:p>
            <w:pPr>
              <w:pStyle w:val="16"/>
            </w:pPr>
            <w:r>
              <w:rPr>
                <w:rFonts w:hint="eastAsia"/>
              </w:rPr>
              <w:t>6.全球老年疾病负担</w:t>
            </w:r>
          </w:p>
        </w:tc>
        <w:tc>
          <w:tcPr>
            <w:tcW w:w="1962" w:type="dxa"/>
          </w:tcPr>
          <w:p>
            <w:pPr>
              <w:widowControl w:val="0"/>
              <w:jc w:val="center"/>
            </w:pPr>
            <w:r>
              <w:rPr>
                <w:rFonts w:hint="eastAsia"/>
              </w:rPr>
              <w:t>讲授</w:t>
            </w:r>
          </w:p>
        </w:tc>
        <w:tc>
          <w:tcPr>
            <w:tcW w:w="1699" w:type="dxa"/>
            <w:vAlign w:val="center"/>
          </w:tcPr>
          <w:p>
            <w:pPr>
              <w:widowControl/>
              <w:jc w:val="center"/>
              <w:rPr>
                <w:rFonts w:cs="Arial"/>
                <w:sz w:val="21"/>
                <w:szCs w:val="21"/>
              </w:rPr>
            </w:pPr>
            <w:r>
              <w:rPr>
                <w:rFonts w:hint="eastAsia" w:cs="Arial"/>
                <w:sz w:val="21"/>
                <w:szCs w:val="21"/>
              </w:rPr>
              <w:t>文献阅读</w:t>
            </w:r>
          </w:p>
        </w:tc>
        <w:tc>
          <w:tcPr>
            <w:tcW w:w="71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6"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2537" w:type="dxa"/>
            <w:tcBorders>
              <w:left w:val="single" w:color="auto" w:sz="12" w:space="0"/>
            </w:tcBorders>
          </w:tcPr>
          <w:p>
            <w:pPr>
              <w:pStyle w:val="16"/>
            </w:pPr>
            <w:r>
              <w:rPr>
                <w:rFonts w:hint="eastAsia"/>
              </w:rPr>
              <w:t>7.老年健康全球策略</w:t>
            </w:r>
          </w:p>
        </w:tc>
        <w:tc>
          <w:tcPr>
            <w:tcW w:w="1962" w:type="dxa"/>
          </w:tcPr>
          <w:p>
            <w:pPr>
              <w:widowControl w:val="0"/>
              <w:jc w:val="center"/>
            </w:pPr>
            <w:r>
              <w:rPr>
                <w:rFonts w:hint="eastAsia"/>
              </w:rPr>
              <w:t>讲授</w:t>
            </w:r>
          </w:p>
        </w:tc>
        <w:tc>
          <w:tcPr>
            <w:tcW w:w="169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期末考试</w:t>
            </w:r>
          </w:p>
        </w:tc>
        <w:tc>
          <w:tcPr>
            <w:tcW w:w="71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6"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37" w:type="dxa"/>
            <w:tcBorders>
              <w:left w:val="single" w:color="auto" w:sz="12" w:space="0"/>
            </w:tcBorders>
          </w:tcPr>
          <w:p>
            <w:pPr>
              <w:pStyle w:val="16"/>
            </w:pPr>
            <w:r>
              <w:rPr>
                <w:rFonts w:hint="eastAsia"/>
              </w:rPr>
              <w:t>8.老年健康公共政策体系</w:t>
            </w:r>
          </w:p>
        </w:tc>
        <w:tc>
          <w:tcPr>
            <w:tcW w:w="1962" w:type="dxa"/>
          </w:tcPr>
          <w:p>
            <w:pPr>
              <w:widowControl w:val="0"/>
              <w:jc w:val="center"/>
            </w:pPr>
            <w:r>
              <w:rPr>
                <w:rFonts w:hint="eastAsia"/>
              </w:rPr>
              <w:t>讲授</w:t>
            </w:r>
          </w:p>
        </w:tc>
        <w:tc>
          <w:tcPr>
            <w:tcW w:w="169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案例分析</w:t>
            </w:r>
          </w:p>
        </w:tc>
        <w:tc>
          <w:tcPr>
            <w:tcW w:w="71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6"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37" w:type="dxa"/>
            <w:tcBorders>
              <w:left w:val="single" w:color="auto" w:sz="12" w:space="0"/>
            </w:tcBorders>
          </w:tcPr>
          <w:p>
            <w:pPr>
              <w:pStyle w:val="16"/>
            </w:pPr>
            <w:r>
              <w:rPr>
                <w:rFonts w:hint="eastAsia"/>
              </w:rPr>
              <w:t>9.老年健康促进</w:t>
            </w:r>
          </w:p>
        </w:tc>
        <w:tc>
          <w:tcPr>
            <w:tcW w:w="1962" w:type="dxa"/>
            <w:vAlign w:val="center"/>
          </w:tcPr>
          <w:p>
            <w:pPr>
              <w:widowControl/>
              <w:jc w:val="center"/>
              <w:rPr>
                <w:rFonts w:cs="Arial"/>
                <w:sz w:val="21"/>
                <w:szCs w:val="21"/>
              </w:rPr>
            </w:pPr>
            <w:r>
              <w:rPr>
                <w:rFonts w:hint="eastAsia" w:cs="Arial"/>
                <w:sz w:val="21"/>
                <w:szCs w:val="21"/>
              </w:rPr>
              <w:t>讲授</w:t>
            </w:r>
          </w:p>
        </w:tc>
        <w:tc>
          <w:tcPr>
            <w:tcW w:w="169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期末考试</w:t>
            </w:r>
          </w:p>
        </w:tc>
        <w:tc>
          <w:tcPr>
            <w:tcW w:w="71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6"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37" w:type="dxa"/>
            <w:tcBorders>
              <w:left w:val="single" w:color="auto" w:sz="12" w:space="0"/>
            </w:tcBorders>
          </w:tcPr>
          <w:p>
            <w:pPr>
              <w:pStyle w:val="16"/>
            </w:pPr>
            <w:r>
              <w:rPr>
                <w:rFonts w:hint="eastAsia"/>
              </w:rPr>
              <w:t>10.老年长期照料</w:t>
            </w:r>
          </w:p>
        </w:tc>
        <w:tc>
          <w:tcPr>
            <w:tcW w:w="1962" w:type="dxa"/>
            <w:vAlign w:val="center"/>
          </w:tcPr>
          <w:p>
            <w:pPr>
              <w:widowControl/>
              <w:jc w:val="center"/>
              <w:rPr>
                <w:rFonts w:cs="Arial"/>
                <w:sz w:val="21"/>
                <w:szCs w:val="21"/>
              </w:rPr>
            </w:pPr>
            <w:r>
              <w:rPr>
                <w:rFonts w:hint="eastAsia" w:cs="Arial"/>
                <w:sz w:val="21"/>
                <w:szCs w:val="21"/>
              </w:rPr>
              <w:t>讲授</w:t>
            </w:r>
          </w:p>
        </w:tc>
        <w:tc>
          <w:tcPr>
            <w:tcW w:w="169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期末考试</w:t>
            </w:r>
          </w:p>
        </w:tc>
        <w:tc>
          <w:tcPr>
            <w:tcW w:w="71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5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6"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37" w:type="dxa"/>
            <w:tcBorders>
              <w:left w:val="single" w:color="auto" w:sz="12" w:space="0"/>
            </w:tcBorders>
          </w:tcPr>
          <w:p>
            <w:pPr>
              <w:pStyle w:val="16"/>
            </w:pPr>
            <w:r>
              <w:rPr>
                <w:rFonts w:hint="eastAsia"/>
              </w:rPr>
              <w:t>11.老年健康全球治理</w:t>
            </w:r>
          </w:p>
        </w:tc>
        <w:tc>
          <w:tcPr>
            <w:tcW w:w="1962" w:type="dxa"/>
            <w:vAlign w:val="center"/>
          </w:tcPr>
          <w:p>
            <w:pPr>
              <w:widowControl/>
              <w:jc w:val="center"/>
              <w:rPr>
                <w:rFonts w:cs="Arial"/>
                <w:sz w:val="21"/>
                <w:szCs w:val="21"/>
              </w:rPr>
            </w:pPr>
            <w:r>
              <w:rPr>
                <w:rFonts w:hint="eastAsia" w:cs="Arial"/>
                <w:sz w:val="21"/>
                <w:szCs w:val="21"/>
              </w:rPr>
              <w:t>讲授</w:t>
            </w:r>
          </w:p>
        </w:tc>
        <w:tc>
          <w:tcPr>
            <w:tcW w:w="169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课堂展示</w:t>
            </w:r>
          </w:p>
        </w:tc>
        <w:tc>
          <w:tcPr>
            <w:tcW w:w="71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6"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37" w:type="dxa"/>
            <w:tcBorders>
              <w:left w:val="single" w:color="auto" w:sz="12" w:space="0"/>
            </w:tcBorders>
          </w:tcPr>
          <w:p>
            <w:pPr>
              <w:pStyle w:val="16"/>
            </w:pPr>
            <w:r>
              <w:rPr>
                <w:rFonts w:hint="eastAsia"/>
              </w:rPr>
              <w:t>12.老年慢性非传染性疾病</w:t>
            </w:r>
          </w:p>
        </w:tc>
        <w:tc>
          <w:tcPr>
            <w:tcW w:w="1962"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讲授</w:t>
            </w:r>
          </w:p>
        </w:tc>
        <w:tc>
          <w:tcPr>
            <w:tcW w:w="169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期末考试</w:t>
            </w:r>
          </w:p>
        </w:tc>
        <w:tc>
          <w:tcPr>
            <w:tcW w:w="71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6"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37" w:type="dxa"/>
            <w:tcBorders>
              <w:left w:val="single" w:color="auto" w:sz="12" w:space="0"/>
            </w:tcBorders>
          </w:tcPr>
          <w:p>
            <w:pPr>
              <w:pStyle w:val="16"/>
            </w:pPr>
            <w:r>
              <w:rPr>
                <w:rFonts w:hint="eastAsia"/>
              </w:rPr>
              <w:t>13</w:t>
            </w:r>
            <w:r>
              <w:t>.</w:t>
            </w:r>
            <w:r>
              <w:rPr>
                <w:rFonts w:hint="eastAsia"/>
              </w:rPr>
              <w:t>全球老年传染性疾病</w:t>
            </w:r>
          </w:p>
        </w:tc>
        <w:tc>
          <w:tcPr>
            <w:tcW w:w="1962"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讲授</w:t>
            </w:r>
          </w:p>
        </w:tc>
        <w:tc>
          <w:tcPr>
            <w:tcW w:w="169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平时作业</w:t>
            </w:r>
          </w:p>
        </w:tc>
        <w:tc>
          <w:tcPr>
            <w:tcW w:w="71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6"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37" w:type="dxa"/>
            <w:tcBorders>
              <w:left w:val="single" w:color="auto" w:sz="12" w:space="0"/>
            </w:tcBorders>
          </w:tcPr>
          <w:p>
            <w:pPr>
              <w:pStyle w:val="16"/>
            </w:pPr>
            <w:r>
              <w:rPr>
                <w:rFonts w:hint="eastAsia"/>
              </w:rPr>
              <w:t>14.老年失能</w:t>
            </w:r>
          </w:p>
        </w:tc>
        <w:tc>
          <w:tcPr>
            <w:tcW w:w="1962"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讲授</w:t>
            </w:r>
          </w:p>
        </w:tc>
        <w:tc>
          <w:tcPr>
            <w:tcW w:w="1699"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平时作业</w:t>
            </w:r>
          </w:p>
        </w:tc>
        <w:tc>
          <w:tcPr>
            <w:tcW w:w="71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5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6"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198" w:type="dxa"/>
            <w:gridSpan w:val="3"/>
            <w:tcBorders>
              <w:left w:val="single" w:color="auto" w:sz="12" w:space="0"/>
              <w:bottom w:val="single" w:color="auto" w:sz="12" w:space="0"/>
            </w:tcBorders>
          </w:tcPr>
          <w:p>
            <w:pPr>
              <w:pStyle w:val="16"/>
            </w:pPr>
          </w:p>
        </w:tc>
        <w:tc>
          <w:tcPr>
            <w:tcW w:w="713"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24</w:t>
            </w:r>
          </w:p>
        </w:tc>
        <w:tc>
          <w:tcPr>
            <w:tcW w:w="659"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06" w:type="dxa"/>
            <w:tcBorders>
              <w:bottom w:val="single" w:color="auto" w:sz="12" w:space="0"/>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pPr>
        <w:pStyle w:val="19"/>
      </w:pPr>
      <w:r>
        <w:rPr>
          <w:rFonts w:hint="eastAsia"/>
        </w:rPr>
        <w:t>（四）课内实验项目与基本要求</w:t>
      </w:r>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1"/>
        <w:gridCol w:w="1882"/>
        <w:gridCol w:w="4054"/>
        <w:gridCol w:w="864"/>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5"/>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5"/>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pPr>
              <w:pStyle w:val="15"/>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pPr>
              <w:pStyle w:val="15"/>
              <w:rPr>
                <w:szCs w:val="16"/>
              </w:rPr>
            </w:pPr>
            <w:r>
              <w:rPr>
                <w:rFonts w:hint="eastAsia"/>
                <w:szCs w:val="16"/>
              </w:rPr>
              <w:t>实验</w:t>
            </w:r>
          </w:p>
          <w:p>
            <w:pPr>
              <w:pStyle w:val="15"/>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pPr>
              <w:pStyle w:val="15"/>
              <w:rPr>
                <w:szCs w:val="16"/>
              </w:rPr>
            </w:pPr>
            <w:r>
              <w:rPr>
                <w:rFonts w:hint="eastAsia"/>
                <w:szCs w:val="16"/>
              </w:rPr>
              <w:t>实验</w:t>
            </w:r>
          </w:p>
          <w:p>
            <w:pPr>
              <w:pStyle w:val="15"/>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6"/>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color w:val="000000"/>
                <w:sz w:val="21"/>
                <w:szCs w:val="21"/>
              </w:rPr>
            </w:pPr>
            <w:r>
              <w:rPr>
                <w:rFonts w:hint="eastAsia"/>
                <w:color w:val="000000"/>
                <w:sz w:val="21"/>
                <w:szCs w:val="21"/>
              </w:rPr>
              <w:t>老年健康测评</w:t>
            </w:r>
          </w:p>
        </w:tc>
        <w:tc>
          <w:tcPr>
            <w:tcW w:w="4061"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color w:val="000000"/>
                <w:sz w:val="21"/>
                <w:szCs w:val="21"/>
              </w:rPr>
            </w:pPr>
            <w:r>
              <w:rPr>
                <w:rFonts w:hint="eastAsia"/>
                <w:color w:val="000000"/>
                <w:sz w:val="21"/>
                <w:szCs w:val="21"/>
              </w:rPr>
              <w:t>设计并操作老年健康测评计划方案</w:t>
            </w:r>
          </w:p>
        </w:tc>
        <w:tc>
          <w:tcPr>
            <w:tcW w:w="862" w:type="dxa"/>
            <w:tcBorders>
              <w:left w:val="single" w:color="auto" w:sz="4" w:space="0"/>
              <w:right w:val="single" w:color="auto" w:sz="4" w:space="0"/>
            </w:tcBorders>
            <w:shd w:val="clear" w:color="auto" w:fill="auto"/>
            <w:vAlign w:val="center"/>
          </w:tcPr>
          <w:p>
            <w:pPr>
              <w:pStyle w:val="16"/>
            </w:pPr>
            <w:r>
              <w:rPr>
                <w:rFonts w:hint="eastAsia"/>
              </w:rPr>
              <w:t>4</w:t>
            </w:r>
          </w:p>
        </w:tc>
        <w:tc>
          <w:tcPr>
            <w:tcW w:w="950" w:type="dxa"/>
            <w:tcBorders>
              <w:left w:val="single" w:color="auto" w:sz="4" w:space="0"/>
              <w:right w:val="single" w:color="auto" w:sz="12" w:space="0"/>
            </w:tcBorders>
            <w:shd w:val="clear" w:color="auto" w:fill="auto"/>
            <w:vAlign w:val="center"/>
          </w:tcPr>
          <w:p>
            <w:pPr>
              <w:snapToGrid w:val="0"/>
              <w:spacing w:line="288" w:lineRule="auto"/>
              <w:rPr>
                <w:color w:val="000000"/>
                <w:sz w:val="21"/>
                <w:szCs w:val="21"/>
              </w:rPr>
            </w:pPr>
            <w:r>
              <w:rPr>
                <w:rFonts w:hint="eastAsia"/>
                <w:color w:val="000000"/>
                <w:sz w:val="21"/>
                <w:szCs w:val="21"/>
              </w:rPr>
              <w:t>综合型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6"/>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color w:val="000000"/>
                <w:sz w:val="21"/>
                <w:szCs w:val="21"/>
              </w:rPr>
            </w:pPr>
            <w:r>
              <w:rPr>
                <w:rFonts w:hint="eastAsia"/>
                <w:color w:val="000000"/>
                <w:sz w:val="21"/>
                <w:szCs w:val="21"/>
              </w:rPr>
              <w:t>老年长期照料</w:t>
            </w:r>
          </w:p>
        </w:tc>
        <w:tc>
          <w:tcPr>
            <w:tcW w:w="4061"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color w:val="000000"/>
                <w:sz w:val="21"/>
                <w:szCs w:val="21"/>
              </w:rPr>
            </w:pPr>
            <w:r>
              <w:rPr>
                <w:rFonts w:hint="eastAsia"/>
                <w:color w:val="000000"/>
                <w:sz w:val="21"/>
                <w:szCs w:val="21"/>
              </w:rPr>
              <w:t>老年常见病及生活照护</w:t>
            </w:r>
          </w:p>
        </w:tc>
        <w:tc>
          <w:tcPr>
            <w:tcW w:w="862" w:type="dxa"/>
            <w:tcBorders>
              <w:left w:val="single" w:color="auto" w:sz="4" w:space="0"/>
              <w:bottom w:val="single" w:color="auto" w:sz="4" w:space="0"/>
              <w:right w:val="single" w:color="auto" w:sz="4" w:space="0"/>
            </w:tcBorders>
            <w:shd w:val="clear" w:color="auto" w:fill="auto"/>
            <w:vAlign w:val="center"/>
          </w:tcPr>
          <w:p>
            <w:pPr>
              <w:pStyle w:val="16"/>
            </w:pPr>
            <w:r>
              <w:rPr>
                <w:rFonts w:hint="eastAsia"/>
              </w:rPr>
              <w:t>2</w:t>
            </w:r>
          </w:p>
        </w:tc>
        <w:tc>
          <w:tcPr>
            <w:tcW w:w="950" w:type="dxa"/>
            <w:tcBorders>
              <w:left w:val="single" w:color="auto" w:sz="4" w:space="0"/>
              <w:bottom w:val="single" w:color="auto" w:sz="4" w:space="0"/>
              <w:right w:val="single" w:color="auto" w:sz="12" w:space="0"/>
            </w:tcBorders>
            <w:shd w:val="clear" w:color="auto" w:fill="auto"/>
            <w:vAlign w:val="center"/>
          </w:tcPr>
          <w:p>
            <w:pPr>
              <w:snapToGrid w:val="0"/>
              <w:spacing w:line="288" w:lineRule="auto"/>
              <w:rPr>
                <w:color w:val="000000"/>
                <w:sz w:val="21"/>
                <w:szCs w:val="21"/>
              </w:rPr>
            </w:pPr>
            <w:r>
              <w:rPr>
                <w:rFonts w:hint="eastAsia"/>
                <w:color w:val="000000"/>
                <w:sz w:val="21"/>
                <w:szCs w:val="21"/>
              </w:rPr>
              <w:t>综合型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6"/>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color w:val="000000"/>
                <w:sz w:val="21"/>
                <w:szCs w:val="21"/>
              </w:rPr>
            </w:pPr>
            <w:r>
              <w:rPr>
                <w:rFonts w:hint="eastAsia"/>
                <w:color w:val="000000"/>
                <w:sz w:val="21"/>
                <w:szCs w:val="21"/>
              </w:rPr>
              <w:t>老年失能</w:t>
            </w:r>
          </w:p>
        </w:tc>
        <w:tc>
          <w:tcPr>
            <w:tcW w:w="4061"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color w:val="000000"/>
                <w:sz w:val="21"/>
                <w:szCs w:val="21"/>
              </w:rPr>
            </w:pPr>
            <w:r>
              <w:rPr>
                <w:rFonts w:hint="eastAsia"/>
                <w:color w:val="000000"/>
                <w:sz w:val="21"/>
                <w:szCs w:val="21"/>
              </w:rPr>
              <w:t>老年失能模拟</w:t>
            </w:r>
          </w:p>
        </w:tc>
        <w:tc>
          <w:tcPr>
            <w:tcW w:w="862" w:type="dxa"/>
            <w:tcBorders>
              <w:left w:val="single" w:color="auto" w:sz="4" w:space="0"/>
              <w:right w:val="single" w:color="auto" w:sz="4" w:space="0"/>
            </w:tcBorders>
            <w:shd w:val="clear" w:color="auto" w:fill="auto"/>
            <w:vAlign w:val="center"/>
          </w:tcPr>
          <w:p>
            <w:pPr>
              <w:pStyle w:val="16"/>
            </w:pPr>
            <w:r>
              <w:rPr>
                <w:rFonts w:hint="eastAsia"/>
              </w:rPr>
              <w:t>2</w:t>
            </w:r>
          </w:p>
        </w:tc>
        <w:tc>
          <w:tcPr>
            <w:tcW w:w="950" w:type="dxa"/>
            <w:tcBorders>
              <w:left w:val="single" w:color="auto" w:sz="4" w:space="0"/>
              <w:right w:val="single" w:color="auto" w:sz="12" w:space="0"/>
            </w:tcBorders>
            <w:shd w:val="clear" w:color="auto" w:fill="auto"/>
            <w:vAlign w:val="center"/>
          </w:tcPr>
          <w:p>
            <w:pPr>
              <w:snapToGrid w:val="0"/>
              <w:spacing w:line="288" w:lineRule="auto"/>
              <w:rPr>
                <w:color w:val="000000"/>
                <w:sz w:val="21"/>
                <w:szCs w:val="21"/>
              </w:rPr>
            </w:pPr>
            <w:r>
              <w:rPr>
                <w:rFonts w:hint="eastAsia"/>
                <w:color w:val="000000"/>
                <w:sz w:val="21"/>
                <w:szCs w:val="21"/>
              </w:rPr>
              <w:t>综合型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pPr>
              <w:pStyle w:val="15"/>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8"/>
        <w:spacing w:before="326" w:beforeLines="100" w:line="360" w:lineRule="auto"/>
        <w:rPr>
          <w:rFonts w:ascii="Times New Roman" w:hAnsi="Times New Roman" w:eastAsia="宋体"/>
          <w:b/>
          <w:sz w:val="24"/>
        </w:rPr>
      </w:pPr>
      <w:bookmarkStart w:id="2" w:name="OLE_LINK1"/>
      <w:bookmarkStart w:id="3" w:name="OLE_LINK2"/>
      <w:r>
        <w:rPr>
          <w:rFonts w:hint="eastAsia" w:ascii="Times New Roman" w:hAnsi="Times New Roman" w:eastAsia="宋体"/>
          <w:b/>
          <w:sz w:val="24"/>
        </w:rPr>
        <w:t>四、课程思政教学设计</w:t>
      </w:r>
    </w:p>
    <w:bookmarkEnd w:id="2"/>
    <w:bookmarkEnd w:id="3"/>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pPr>
              <w:widowControl w:val="0"/>
              <w:snapToGrid w:val="0"/>
              <w:spacing w:line="288" w:lineRule="auto"/>
              <w:ind w:firstLine="420" w:firstLineChars="200"/>
              <w:jc w:val="both"/>
              <w:rPr>
                <w:color w:val="000000"/>
                <w:sz w:val="21"/>
                <w:szCs w:val="21"/>
              </w:rPr>
            </w:pPr>
            <w:r>
              <w:rPr>
                <w:color w:val="000000"/>
                <w:sz w:val="21"/>
                <w:szCs w:val="21"/>
              </w:rPr>
              <w:t>1、</w:t>
            </w:r>
            <w:r>
              <w:rPr>
                <w:rFonts w:hint="eastAsia"/>
                <w:color w:val="000000"/>
                <w:sz w:val="21"/>
                <w:szCs w:val="21"/>
              </w:rPr>
              <w:t>通过学习个体老年的健康特征、老年失能启示学生树立感恩之心，服务老龄事业。</w:t>
            </w:r>
          </w:p>
          <w:p>
            <w:pPr>
              <w:widowControl w:val="0"/>
              <w:snapToGrid w:val="0"/>
              <w:spacing w:line="288" w:lineRule="auto"/>
              <w:ind w:firstLine="420" w:firstLineChars="200"/>
              <w:jc w:val="both"/>
              <w:rPr>
                <w:color w:val="000000"/>
                <w:sz w:val="21"/>
                <w:szCs w:val="21"/>
              </w:rPr>
            </w:pPr>
            <w:r>
              <w:rPr>
                <w:color w:val="000000"/>
                <w:sz w:val="21"/>
                <w:szCs w:val="21"/>
              </w:rPr>
              <w:t>2、</w:t>
            </w:r>
            <w:r>
              <w:rPr>
                <w:rFonts w:hint="eastAsia"/>
                <w:color w:val="000000"/>
                <w:sz w:val="21"/>
                <w:szCs w:val="21"/>
              </w:rPr>
              <w:t>通过学习世界各国老龄化的发展趋势、老龄政策制定的难题，鼓励学生践行服务老人，奉献社会的理念。</w:t>
            </w:r>
          </w:p>
          <w:p>
            <w:pPr>
              <w:widowControl w:val="0"/>
              <w:snapToGrid w:val="0"/>
              <w:spacing w:line="288" w:lineRule="auto"/>
              <w:ind w:firstLine="420" w:firstLineChars="200"/>
              <w:jc w:val="both"/>
            </w:pPr>
            <w:r>
              <w:rPr>
                <w:color w:val="000000"/>
                <w:sz w:val="21"/>
                <w:szCs w:val="21"/>
              </w:rPr>
              <w:t>3、</w:t>
            </w:r>
            <w:r>
              <w:rPr>
                <w:rFonts w:hint="eastAsia"/>
                <w:color w:val="000000"/>
                <w:sz w:val="21"/>
                <w:szCs w:val="21"/>
              </w:rPr>
              <w:t>通过鼓励学生学习老年照护的技能，鼓励学生养成不断更新知识，持续发展，终身学习的习惯。</w:t>
            </w:r>
          </w:p>
        </w:tc>
      </w:tr>
    </w:tbl>
    <w:p>
      <w:pPr>
        <w:pStyle w:val="18"/>
        <w:spacing w:before="326" w:beforeLines="100" w:line="360" w:lineRule="auto"/>
        <w:rPr>
          <w:rFonts w:ascii="Times New Roman" w:hAnsi="Times New Roman" w:eastAsia="宋体"/>
          <w:b/>
          <w:sz w:val="24"/>
        </w:rPr>
      </w:pPr>
      <w:r>
        <w:rPr>
          <w:rFonts w:hint="eastAsia" w:ascii="Times New Roman" w:hAnsi="Times New Roman" w:eastAsia="宋体"/>
          <w:b/>
          <w:sz w:val="24"/>
        </w:rPr>
        <w:t>五、课程考核</w:t>
      </w:r>
      <w:bookmarkStart w:id="4" w:name="OLE_LINK3"/>
      <w:bookmarkStart w:id="5" w:name="OLE_LINK4"/>
    </w:p>
    <w:bookmarkEnd w:id="4"/>
    <w:bookmarkEnd w:id="5"/>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3260"/>
        <w:gridCol w:w="709"/>
        <w:gridCol w:w="850"/>
        <w:gridCol w:w="709"/>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8"/>
              <w:widowControl w:val="0"/>
              <w:spacing w:line="240" w:lineRule="auto"/>
              <w:jc w:val="center"/>
              <w:rPr>
                <w:rFonts w:ascii="黑体" w:hAnsi="宋体"/>
              </w:rPr>
            </w:pPr>
            <w:r>
              <w:rPr>
                <w:rFonts w:hint="eastAsia" w:ascii="黑体" w:hAnsi="黑体"/>
                <w:bCs/>
                <w:sz w:val="21"/>
                <w:szCs w:val="21"/>
              </w:rPr>
              <w:t>占比</w:t>
            </w:r>
          </w:p>
        </w:tc>
        <w:tc>
          <w:tcPr>
            <w:tcW w:w="3260" w:type="dxa"/>
            <w:vMerge w:val="restart"/>
            <w:tcBorders>
              <w:top w:val="single" w:color="auto" w:sz="12" w:space="0"/>
              <w:right w:val="double" w:color="auto" w:sz="4" w:space="0"/>
            </w:tcBorders>
            <w:vAlign w:val="center"/>
          </w:tcPr>
          <w:p>
            <w:pPr>
              <w:pStyle w:val="18"/>
              <w:widowControl w:val="0"/>
              <w:jc w:val="center"/>
              <w:rPr>
                <w:rFonts w:ascii="黑体" w:hAnsi="黑体"/>
                <w:bCs/>
                <w:sz w:val="21"/>
                <w:szCs w:val="21"/>
              </w:rPr>
            </w:pPr>
            <w:r>
              <w:rPr>
                <w:rFonts w:hint="eastAsia" w:ascii="黑体" w:hAnsi="黑体"/>
                <w:bCs/>
                <w:sz w:val="21"/>
                <w:szCs w:val="21"/>
              </w:rPr>
              <w:t>考核方式</w:t>
            </w:r>
          </w:p>
        </w:tc>
        <w:tc>
          <w:tcPr>
            <w:tcW w:w="2268" w:type="dxa"/>
            <w:gridSpan w:val="3"/>
            <w:tcBorders>
              <w:top w:val="single" w:color="auto" w:sz="12" w:space="0"/>
              <w:left w:val="double" w:color="auto" w:sz="4" w:space="0"/>
            </w:tcBorders>
            <w:vAlign w:val="center"/>
          </w:tcPr>
          <w:p>
            <w:pPr>
              <w:pStyle w:val="18"/>
              <w:widowControl w:val="0"/>
              <w:spacing w:line="240" w:lineRule="auto"/>
              <w:jc w:val="center"/>
              <w:rPr>
                <w:rFonts w:ascii="黑体" w:hAnsi="宋体"/>
              </w:rPr>
            </w:pPr>
            <w:r>
              <w:rPr>
                <w:rFonts w:hint="eastAsia" w:ascii="黑体" w:hAnsi="黑体"/>
                <w:bCs/>
                <w:sz w:val="21"/>
                <w:szCs w:val="21"/>
              </w:rPr>
              <w:t>课程目标</w:t>
            </w:r>
          </w:p>
        </w:tc>
        <w:tc>
          <w:tcPr>
            <w:tcW w:w="1203" w:type="dxa"/>
            <w:vMerge w:val="restart"/>
            <w:tcBorders>
              <w:top w:val="single" w:color="auto" w:sz="12" w:space="0"/>
              <w:right w:val="single" w:color="auto" w:sz="12" w:space="0"/>
            </w:tcBorders>
            <w:vAlign w:val="center"/>
          </w:tcPr>
          <w:p>
            <w:pPr>
              <w:pStyle w:val="18"/>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8"/>
              <w:widowControl w:val="0"/>
              <w:jc w:val="both"/>
              <w:rPr>
                <w:rFonts w:ascii="黑体" w:hAnsi="黑体"/>
                <w:bCs/>
                <w:sz w:val="21"/>
                <w:szCs w:val="21"/>
              </w:rPr>
            </w:pPr>
          </w:p>
        </w:tc>
        <w:tc>
          <w:tcPr>
            <w:tcW w:w="3260" w:type="dxa"/>
            <w:vMerge w:val="continue"/>
            <w:tcBorders>
              <w:right w:val="double" w:color="auto" w:sz="4" w:space="0"/>
            </w:tcBorders>
          </w:tcPr>
          <w:p>
            <w:pPr>
              <w:pStyle w:val="18"/>
              <w:widowControl w:val="0"/>
              <w:jc w:val="both"/>
              <w:rPr>
                <w:rFonts w:ascii="黑体" w:hAnsi="黑体"/>
                <w:bCs/>
                <w:sz w:val="21"/>
                <w:szCs w:val="21"/>
              </w:rPr>
            </w:pPr>
          </w:p>
        </w:tc>
        <w:tc>
          <w:tcPr>
            <w:tcW w:w="709" w:type="dxa"/>
            <w:tcBorders>
              <w:left w:val="double" w:color="auto" w:sz="4" w:space="0"/>
            </w:tcBorders>
            <w:vAlign w:val="center"/>
          </w:tcPr>
          <w:p>
            <w:pPr>
              <w:pStyle w:val="18"/>
              <w:widowControl w:val="0"/>
              <w:spacing w:line="240" w:lineRule="auto"/>
              <w:jc w:val="center"/>
              <w:rPr>
                <w:rFonts w:ascii="黑体" w:hAnsi="黑体"/>
                <w:bCs/>
                <w:sz w:val="21"/>
                <w:szCs w:val="21"/>
              </w:rPr>
            </w:pPr>
            <w:r>
              <w:rPr>
                <w:rFonts w:hint="eastAsia" w:ascii="黑体" w:hAnsi="黑体"/>
                <w:bCs/>
                <w:sz w:val="21"/>
                <w:szCs w:val="21"/>
              </w:rPr>
              <w:t>1</w:t>
            </w:r>
          </w:p>
        </w:tc>
        <w:tc>
          <w:tcPr>
            <w:tcW w:w="850" w:type="dxa"/>
            <w:vAlign w:val="center"/>
          </w:tcPr>
          <w:p>
            <w:pPr>
              <w:pStyle w:val="18"/>
              <w:widowControl w:val="0"/>
              <w:spacing w:line="240" w:lineRule="auto"/>
              <w:jc w:val="center"/>
              <w:rPr>
                <w:rFonts w:ascii="黑体" w:hAnsi="黑体"/>
                <w:bCs/>
                <w:sz w:val="21"/>
                <w:szCs w:val="21"/>
              </w:rPr>
            </w:pPr>
            <w:r>
              <w:rPr>
                <w:rFonts w:hint="eastAsia" w:ascii="黑体" w:hAnsi="黑体"/>
                <w:bCs/>
                <w:sz w:val="21"/>
                <w:szCs w:val="21"/>
              </w:rPr>
              <w:t>2</w:t>
            </w:r>
          </w:p>
        </w:tc>
        <w:tc>
          <w:tcPr>
            <w:tcW w:w="709" w:type="dxa"/>
            <w:vAlign w:val="center"/>
          </w:tcPr>
          <w:p>
            <w:pPr>
              <w:pStyle w:val="18"/>
              <w:widowControl w:val="0"/>
              <w:spacing w:line="240" w:lineRule="auto"/>
              <w:jc w:val="center"/>
              <w:rPr>
                <w:rFonts w:ascii="黑体" w:hAnsi="黑体"/>
                <w:bCs/>
                <w:sz w:val="21"/>
                <w:szCs w:val="21"/>
              </w:rPr>
            </w:pPr>
            <w:r>
              <w:rPr>
                <w:rFonts w:hint="eastAsia" w:ascii="黑体" w:hAnsi="黑体"/>
                <w:bCs/>
                <w:sz w:val="21"/>
                <w:szCs w:val="21"/>
              </w:rPr>
              <w:t>3</w:t>
            </w:r>
          </w:p>
        </w:tc>
        <w:tc>
          <w:tcPr>
            <w:tcW w:w="1203" w:type="dxa"/>
            <w:vMerge w:val="continue"/>
            <w:tcBorders>
              <w:right w:val="single" w:color="auto" w:sz="12" w:space="0"/>
            </w:tcBorders>
          </w:tcPr>
          <w:p>
            <w:pPr>
              <w:pStyle w:val="18"/>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tcPr>
          <w:p>
            <w:pPr>
              <w:widowControl w:val="0"/>
              <w:snapToGrid w:val="0"/>
              <w:spacing w:before="163" w:beforeLines="50" w:after="163" w:afterLines="50"/>
              <w:jc w:val="center"/>
              <w:rPr>
                <w:bCs/>
                <w:color w:val="000000"/>
                <w:sz w:val="21"/>
                <w:szCs w:val="21"/>
              </w:rPr>
            </w:pPr>
            <w:r>
              <w:rPr>
                <w:bCs/>
                <w:color w:val="000000"/>
                <w:sz w:val="21"/>
                <w:szCs w:val="21"/>
              </w:rPr>
              <w:t>4</w:t>
            </w:r>
            <w:r>
              <w:rPr>
                <w:rFonts w:hint="eastAsia"/>
                <w:bCs/>
                <w:color w:val="000000"/>
                <w:sz w:val="21"/>
                <w:szCs w:val="21"/>
              </w:rPr>
              <w:t>0%</w:t>
            </w:r>
          </w:p>
        </w:tc>
        <w:tc>
          <w:tcPr>
            <w:tcW w:w="3260" w:type="dxa"/>
            <w:tcBorders>
              <w:right w:val="double" w:color="auto" w:sz="4" w:space="0"/>
            </w:tcBorders>
          </w:tcPr>
          <w:p>
            <w:pPr>
              <w:widowControl w:val="0"/>
              <w:snapToGrid w:val="0"/>
              <w:spacing w:before="163" w:beforeLines="50" w:after="163" w:afterLines="50"/>
              <w:jc w:val="left"/>
              <w:rPr>
                <w:bCs/>
                <w:color w:val="000000"/>
                <w:sz w:val="21"/>
                <w:szCs w:val="21"/>
              </w:rPr>
            </w:pPr>
            <w:r>
              <w:rPr>
                <w:rFonts w:hint="eastAsia"/>
                <w:bCs/>
                <w:color w:val="000000"/>
                <w:sz w:val="21"/>
                <w:szCs w:val="21"/>
              </w:rPr>
              <w:t>期末测评</w:t>
            </w:r>
          </w:p>
        </w:tc>
        <w:tc>
          <w:tcPr>
            <w:tcW w:w="709" w:type="dxa"/>
            <w:tcBorders>
              <w:left w:val="double" w:color="auto" w:sz="4" w:space="0"/>
            </w:tcBorders>
            <w:vAlign w:val="center"/>
          </w:tcPr>
          <w:p>
            <w:pPr>
              <w:pStyle w:val="16"/>
            </w:pPr>
            <w:r>
              <w:rPr>
                <w:rFonts w:hint="eastAsia"/>
              </w:rPr>
              <w:t>50</w:t>
            </w:r>
          </w:p>
        </w:tc>
        <w:tc>
          <w:tcPr>
            <w:tcW w:w="850" w:type="dxa"/>
            <w:vAlign w:val="center"/>
          </w:tcPr>
          <w:p>
            <w:pPr>
              <w:pStyle w:val="16"/>
            </w:pPr>
            <w:r>
              <w:rPr>
                <w:rFonts w:hint="eastAsia"/>
              </w:rPr>
              <w:t>40</w:t>
            </w:r>
          </w:p>
        </w:tc>
        <w:tc>
          <w:tcPr>
            <w:tcW w:w="709" w:type="dxa"/>
            <w:vAlign w:val="center"/>
          </w:tcPr>
          <w:p>
            <w:pPr>
              <w:pStyle w:val="18"/>
              <w:widowControl w:val="0"/>
              <w:spacing w:line="240" w:lineRule="auto"/>
              <w:jc w:val="center"/>
              <w:rPr>
                <w:rFonts w:ascii="黑体" w:hAnsi="黑体"/>
                <w:bCs/>
                <w:sz w:val="21"/>
                <w:szCs w:val="21"/>
              </w:rPr>
            </w:pPr>
            <w:r>
              <w:rPr>
                <w:rFonts w:hint="eastAsia" w:ascii="黑体" w:hAnsi="黑体"/>
                <w:bCs/>
                <w:sz w:val="21"/>
                <w:szCs w:val="21"/>
              </w:rPr>
              <w:t>10</w:t>
            </w:r>
          </w:p>
        </w:tc>
        <w:tc>
          <w:tcPr>
            <w:tcW w:w="1203" w:type="dxa"/>
            <w:tcBorders>
              <w:right w:val="single" w:color="auto" w:sz="12" w:space="0"/>
            </w:tcBorders>
            <w:vAlign w:val="center"/>
          </w:tcPr>
          <w:p>
            <w:pPr>
              <w:pStyle w:val="16"/>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tcPr>
          <w:p>
            <w:pPr>
              <w:widowControl w:val="0"/>
              <w:snapToGrid w:val="0"/>
              <w:spacing w:before="163" w:beforeLines="50" w:after="163" w:afterLines="50"/>
              <w:jc w:val="center"/>
              <w:rPr>
                <w:bCs/>
                <w:color w:val="000000"/>
                <w:sz w:val="21"/>
                <w:szCs w:val="21"/>
              </w:rPr>
            </w:pPr>
            <w:r>
              <w:rPr>
                <w:bCs/>
                <w:color w:val="000000"/>
                <w:sz w:val="21"/>
                <w:szCs w:val="21"/>
              </w:rPr>
              <w:t>2</w:t>
            </w:r>
            <w:r>
              <w:rPr>
                <w:rFonts w:hint="eastAsia"/>
                <w:bCs/>
                <w:color w:val="000000"/>
                <w:sz w:val="21"/>
                <w:szCs w:val="21"/>
              </w:rPr>
              <w:t>0%</w:t>
            </w:r>
          </w:p>
        </w:tc>
        <w:tc>
          <w:tcPr>
            <w:tcW w:w="3260" w:type="dxa"/>
            <w:tcBorders>
              <w:right w:val="double" w:color="auto" w:sz="4" w:space="0"/>
            </w:tcBorders>
          </w:tcPr>
          <w:p>
            <w:pPr>
              <w:widowControl w:val="0"/>
              <w:snapToGrid w:val="0"/>
              <w:spacing w:before="163" w:beforeLines="50" w:after="163" w:afterLines="50"/>
              <w:jc w:val="left"/>
              <w:rPr>
                <w:bCs/>
                <w:color w:val="000000"/>
                <w:sz w:val="21"/>
                <w:szCs w:val="21"/>
              </w:rPr>
            </w:pPr>
            <w:r>
              <w:rPr>
                <w:rFonts w:hint="eastAsia"/>
                <w:sz w:val="21"/>
                <w:szCs w:val="21"/>
              </w:rPr>
              <w:t>中期考核（案例分析）</w:t>
            </w:r>
          </w:p>
        </w:tc>
        <w:tc>
          <w:tcPr>
            <w:tcW w:w="709" w:type="dxa"/>
            <w:tcBorders>
              <w:left w:val="double" w:color="auto" w:sz="4" w:space="0"/>
            </w:tcBorders>
            <w:vAlign w:val="center"/>
          </w:tcPr>
          <w:p>
            <w:pPr>
              <w:pStyle w:val="16"/>
            </w:pPr>
            <w:r>
              <w:rPr>
                <w:rFonts w:hint="eastAsia"/>
              </w:rPr>
              <w:t>70</w:t>
            </w:r>
          </w:p>
        </w:tc>
        <w:tc>
          <w:tcPr>
            <w:tcW w:w="850" w:type="dxa"/>
            <w:vAlign w:val="center"/>
          </w:tcPr>
          <w:p>
            <w:pPr>
              <w:pStyle w:val="16"/>
            </w:pPr>
            <w:r>
              <w:rPr>
                <w:rFonts w:hint="eastAsia"/>
              </w:rPr>
              <w:t>30</w:t>
            </w:r>
          </w:p>
        </w:tc>
        <w:tc>
          <w:tcPr>
            <w:tcW w:w="709" w:type="dxa"/>
            <w:vAlign w:val="center"/>
          </w:tcPr>
          <w:p>
            <w:pPr>
              <w:pStyle w:val="16"/>
            </w:pPr>
          </w:p>
        </w:tc>
        <w:tc>
          <w:tcPr>
            <w:tcW w:w="1203" w:type="dxa"/>
            <w:tcBorders>
              <w:right w:val="single" w:color="auto" w:sz="12" w:space="0"/>
            </w:tcBorders>
            <w:vAlign w:val="center"/>
          </w:tcPr>
          <w:p>
            <w:pPr>
              <w:pStyle w:val="16"/>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Pr>
          <w:p>
            <w:pPr>
              <w:widowControl w:val="0"/>
              <w:snapToGrid w:val="0"/>
              <w:spacing w:before="163" w:beforeLines="50" w:after="163" w:afterLines="50"/>
              <w:jc w:val="center"/>
              <w:rPr>
                <w:bCs/>
                <w:color w:val="000000"/>
                <w:sz w:val="21"/>
                <w:szCs w:val="21"/>
              </w:rPr>
            </w:pPr>
            <w:r>
              <w:rPr>
                <w:rFonts w:hint="eastAsia"/>
                <w:bCs/>
                <w:color w:val="000000"/>
                <w:sz w:val="21"/>
                <w:szCs w:val="21"/>
              </w:rPr>
              <w:t>20%</w:t>
            </w:r>
          </w:p>
        </w:tc>
        <w:tc>
          <w:tcPr>
            <w:tcW w:w="3260" w:type="dxa"/>
            <w:tcBorders>
              <w:right w:val="double" w:color="auto" w:sz="4" w:space="0"/>
            </w:tcBorders>
          </w:tcPr>
          <w:p>
            <w:pPr>
              <w:widowControl w:val="0"/>
              <w:snapToGrid w:val="0"/>
              <w:spacing w:before="163" w:beforeLines="50" w:after="163" w:afterLines="50"/>
              <w:jc w:val="left"/>
              <w:rPr>
                <w:bCs/>
                <w:color w:val="000000"/>
                <w:sz w:val="21"/>
                <w:szCs w:val="21"/>
              </w:rPr>
            </w:pPr>
            <w:r>
              <w:rPr>
                <w:rFonts w:hint="eastAsia"/>
                <w:bCs/>
                <w:color w:val="000000"/>
                <w:sz w:val="21"/>
                <w:szCs w:val="21"/>
              </w:rPr>
              <w:t>平时作业（三次）</w:t>
            </w:r>
          </w:p>
        </w:tc>
        <w:tc>
          <w:tcPr>
            <w:tcW w:w="709" w:type="dxa"/>
            <w:tcBorders>
              <w:left w:val="double" w:color="auto" w:sz="4" w:space="0"/>
            </w:tcBorders>
            <w:vAlign w:val="center"/>
          </w:tcPr>
          <w:p>
            <w:pPr>
              <w:pStyle w:val="16"/>
            </w:pPr>
            <w:r>
              <w:rPr>
                <w:rFonts w:hint="eastAsia"/>
              </w:rPr>
              <w:t>50</w:t>
            </w:r>
          </w:p>
        </w:tc>
        <w:tc>
          <w:tcPr>
            <w:tcW w:w="850" w:type="dxa"/>
            <w:vAlign w:val="center"/>
          </w:tcPr>
          <w:p>
            <w:pPr>
              <w:pStyle w:val="16"/>
            </w:pPr>
          </w:p>
        </w:tc>
        <w:tc>
          <w:tcPr>
            <w:tcW w:w="709" w:type="dxa"/>
            <w:vAlign w:val="center"/>
          </w:tcPr>
          <w:p>
            <w:pPr>
              <w:pStyle w:val="16"/>
            </w:pPr>
            <w:r>
              <w:rPr>
                <w:rFonts w:hint="eastAsia"/>
              </w:rPr>
              <w:t>50</w:t>
            </w:r>
          </w:p>
        </w:tc>
        <w:tc>
          <w:tcPr>
            <w:tcW w:w="1203" w:type="dxa"/>
            <w:tcBorders>
              <w:right w:val="single" w:color="auto" w:sz="12" w:space="0"/>
            </w:tcBorders>
            <w:vAlign w:val="center"/>
          </w:tcPr>
          <w:p>
            <w:pPr>
              <w:pStyle w:val="16"/>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12" w:space="0"/>
            </w:tcBorders>
            <w:vAlign w:val="center"/>
          </w:tcPr>
          <w:p>
            <w:pPr>
              <w:widowControl w:val="0"/>
              <w:snapToGrid w:val="0"/>
              <w:spacing w:before="163" w:beforeLines="50" w:after="163" w:afterLines="50"/>
              <w:jc w:val="center"/>
              <w:rPr>
                <w:bCs/>
                <w:color w:val="000000"/>
                <w:sz w:val="21"/>
                <w:szCs w:val="21"/>
              </w:rPr>
            </w:pPr>
            <w:r>
              <w:rPr>
                <w:rFonts w:hint="eastAsia"/>
                <w:bCs/>
                <w:color w:val="000000"/>
                <w:sz w:val="21"/>
                <w:szCs w:val="21"/>
              </w:rPr>
              <w:t>20%</w:t>
            </w:r>
          </w:p>
        </w:tc>
        <w:tc>
          <w:tcPr>
            <w:tcW w:w="3260" w:type="dxa"/>
            <w:tcBorders>
              <w:bottom w:val="single" w:color="auto" w:sz="12" w:space="0"/>
              <w:right w:val="double" w:color="auto" w:sz="4" w:space="0"/>
            </w:tcBorders>
          </w:tcPr>
          <w:p>
            <w:pPr>
              <w:widowControl w:val="0"/>
              <w:snapToGrid w:val="0"/>
              <w:spacing w:before="163" w:beforeLines="50" w:after="163" w:afterLines="50"/>
              <w:jc w:val="left"/>
              <w:rPr>
                <w:bCs/>
                <w:color w:val="000000"/>
                <w:sz w:val="21"/>
                <w:szCs w:val="21"/>
              </w:rPr>
            </w:pPr>
            <w:r>
              <w:rPr>
                <w:rFonts w:hint="eastAsia"/>
                <w:sz w:val="21"/>
                <w:szCs w:val="21"/>
              </w:rPr>
              <w:t>平时表现（出勤，课堂表现等）</w:t>
            </w:r>
          </w:p>
        </w:tc>
        <w:tc>
          <w:tcPr>
            <w:tcW w:w="709" w:type="dxa"/>
            <w:tcBorders>
              <w:left w:val="double" w:color="auto" w:sz="4" w:space="0"/>
              <w:bottom w:val="single" w:color="auto" w:sz="12" w:space="0"/>
            </w:tcBorders>
            <w:vAlign w:val="center"/>
          </w:tcPr>
          <w:p>
            <w:pPr>
              <w:pStyle w:val="16"/>
            </w:pPr>
            <w:r>
              <w:rPr>
                <w:rFonts w:hint="eastAsia"/>
              </w:rPr>
              <w:t>50</w:t>
            </w:r>
          </w:p>
        </w:tc>
        <w:tc>
          <w:tcPr>
            <w:tcW w:w="850" w:type="dxa"/>
            <w:tcBorders>
              <w:bottom w:val="single" w:color="auto" w:sz="12" w:space="0"/>
            </w:tcBorders>
            <w:vAlign w:val="center"/>
          </w:tcPr>
          <w:p>
            <w:pPr>
              <w:pStyle w:val="16"/>
            </w:pPr>
          </w:p>
        </w:tc>
        <w:tc>
          <w:tcPr>
            <w:tcW w:w="709" w:type="dxa"/>
            <w:tcBorders>
              <w:bottom w:val="single" w:color="auto" w:sz="12" w:space="0"/>
            </w:tcBorders>
            <w:vAlign w:val="center"/>
          </w:tcPr>
          <w:p>
            <w:pPr>
              <w:pStyle w:val="16"/>
            </w:pPr>
            <w:r>
              <w:rPr>
                <w:rFonts w:hint="eastAsia"/>
              </w:rPr>
              <w:t>50</w:t>
            </w:r>
          </w:p>
        </w:tc>
        <w:tc>
          <w:tcPr>
            <w:tcW w:w="1203" w:type="dxa"/>
            <w:tcBorders>
              <w:bottom w:val="single" w:color="auto" w:sz="12" w:space="0"/>
              <w:right w:val="single" w:color="auto" w:sz="12" w:space="0"/>
            </w:tcBorders>
            <w:vAlign w:val="center"/>
          </w:tcPr>
          <w:p>
            <w:pPr>
              <w:pStyle w:val="16"/>
            </w:pPr>
            <w:r>
              <w:rPr>
                <w:rFonts w:hint="eastAsia"/>
              </w:rPr>
              <w:t>1</w:t>
            </w:r>
            <w:r>
              <w:t>00</w:t>
            </w:r>
          </w:p>
        </w:tc>
      </w:tr>
    </w:tbl>
    <w:p>
      <w:pPr>
        <w:pStyle w:val="18"/>
        <w:spacing w:before="326" w:beforeLines="100" w:line="360" w:lineRule="auto"/>
        <w:rPr>
          <w:rFonts w:ascii="Times New Roman" w:hAnsi="Times New Roman" w:eastAsia="宋体"/>
          <w:b/>
          <w:sz w:val="24"/>
        </w:rPr>
      </w:pPr>
      <w:r>
        <w:rPr>
          <w:rFonts w:hint="eastAsia" w:ascii="Times New Roman" w:hAnsi="Times New Roman" w:eastAsia="宋体"/>
          <w:b/>
          <w:sz w:val="24"/>
        </w:rPr>
        <w:t xml:space="preserve">六、其他需要说明的问题 </w:t>
      </w:r>
    </w:p>
    <w:tbl>
      <w:tblPr>
        <w:tblStyle w:val="10"/>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jc w:val="center"/>
        </w:trPr>
        <w:tc>
          <w:tcPr>
            <w:tcW w:w="8296" w:type="dxa"/>
            <w:vAlign w:val="center"/>
          </w:tcPr>
          <w:p>
            <w:pPr>
              <w:pStyle w:val="16"/>
              <w:rPr>
                <w:rFonts w:hint="eastAsia"/>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8296" w:type="dxa"/>
            <w:vAlign w:val="center"/>
          </w:tcPr>
          <w:p>
            <w:pPr>
              <w:pStyle w:val="16"/>
            </w:pPr>
            <w:r>
              <w:rPr>
                <w:rFonts w:hint="eastAsia"/>
              </w:rPr>
              <w:t>无</w:t>
            </w:r>
          </w:p>
          <w:p>
            <w:pPr>
              <w:pStyle w:val="16"/>
              <w:rPr>
                <w:rFonts w:hint="eastAsia"/>
              </w:rPr>
            </w:pPr>
          </w:p>
        </w:tc>
      </w:tr>
    </w:tbl>
    <w:p>
      <w:pPr>
        <w:pStyle w:val="18"/>
        <w:rPr>
          <w:rFonts w:hint="eastAsia" w:ascii="黑体" w:hAnsi="宋体"/>
          <w:sz w:val="18"/>
          <w:szCs w:val="16"/>
        </w:rPr>
      </w:pPr>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0000000000000000000"/>
    <w:charset w:val="86"/>
    <w:family w:val="script"/>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362045"/>
      <w:docPartObj>
        <w:docPartGallery w:val="AutoText"/>
      </w:docPartObj>
    </w:sdtPr>
    <w:sdtContent>
      <w:p>
        <w:pPr>
          <w:pStyle w:val="6"/>
          <w:jc w:val="center"/>
        </w:pPr>
        <w:r>
          <w:fldChar w:fldCharType="begin"/>
        </w:r>
        <w:r>
          <w:instrText xml:space="preserve">PAGE   \* MERGEFORMAT</w:instrText>
        </w:r>
        <w:r>
          <w:fldChar w:fldCharType="separate"/>
        </w:r>
        <w:r>
          <w:rPr>
            <w:lang w:val="zh-CN"/>
          </w:rPr>
          <w:t>9</w:t>
        </w:r>
        <w:r>
          <w:fldChar w:fldCharType="end"/>
        </w:r>
      </w:p>
    </w:sdtContent>
  </w:sdt>
  <w:p>
    <w:pPr>
      <w:pStyle w:val="6"/>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69E2B"/>
    <w:multiLevelType w:val="singleLevel"/>
    <w:tmpl w:val="35F69E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kYzljYmIzZTIxMmY2NDFiNDUxMTEzZjYwZGZkMzQifQ=="/>
  </w:docVars>
  <w:rsids>
    <w:rsidRoot w:val="00B7651F"/>
    <w:rsid w:val="000203E0"/>
    <w:rsid w:val="000210E0"/>
    <w:rsid w:val="00021A66"/>
    <w:rsid w:val="00033082"/>
    <w:rsid w:val="00037F85"/>
    <w:rsid w:val="00044088"/>
    <w:rsid w:val="00053590"/>
    <w:rsid w:val="0006001D"/>
    <w:rsid w:val="00066041"/>
    <w:rsid w:val="00076794"/>
    <w:rsid w:val="0008122A"/>
    <w:rsid w:val="00085A31"/>
    <w:rsid w:val="00087488"/>
    <w:rsid w:val="0009050A"/>
    <w:rsid w:val="0009721F"/>
    <w:rsid w:val="000A4E73"/>
    <w:rsid w:val="000B1BD2"/>
    <w:rsid w:val="000C0F0D"/>
    <w:rsid w:val="000C13BC"/>
    <w:rsid w:val="000D1FBE"/>
    <w:rsid w:val="000D28E5"/>
    <w:rsid w:val="000D34D7"/>
    <w:rsid w:val="00100633"/>
    <w:rsid w:val="00102D6D"/>
    <w:rsid w:val="001072BC"/>
    <w:rsid w:val="00114BD6"/>
    <w:rsid w:val="0011667D"/>
    <w:rsid w:val="00130F6D"/>
    <w:rsid w:val="00133554"/>
    <w:rsid w:val="00144082"/>
    <w:rsid w:val="001451AC"/>
    <w:rsid w:val="001456FE"/>
    <w:rsid w:val="00156E17"/>
    <w:rsid w:val="0016381F"/>
    <w:rsid w:val="00163A48"/>
    <w:rsid w:val="00164E36"/>
    <w:rsid w:val="001678A2"/>
    <w:rsid w:val="00183AA1"/>
    <w:rsid w:val="00186F22"/>
    <w:rsid w:val="0018767C"/>
    <w:rsid w:val="001A135C"/>
    <w:rsid w:val="001B01B9"/>
    <w:rsid w:val="001B087D"/>
    <w:rsid w:val="001B0D49"/>
    <w:rsid w:val="001B546F"/>
    <w:rsid w:val="001C058A"/>
    <w:rsid w:val="001C0C33"/>
    <w:rsid w:val="001C16FC"/>
    <w:rsid w:val="001C2E3E"/>
    <w:rsid w:val="001C363D"/>
    <w:rsid w:val="001C388D"/>
    <w:rsid w:val="001C769A"/>
    <w:rsid w:val="001D25C4"/>
    <w:rsid w:val="001E0494"/>
    <w:rsid w:val="001E1D2D"/>
    <w:rsid w:val="001E5A17"/>
    <w:rsid w:val="001F284E"/>
    <w:rsid w:val="001F332E"/>
    <w:rsid w:val="00217861"/>
    <w:rsid w:val="002204E4"/>
    <w:rsid w:val="002211BF"/>
    <w:rsid w:val="002227D5"/>
    <w:rsid w:val="00226EDE"/>
    <w:rsid w:val="0023245A"/>
    <w:rsid w:val="00233F15"/>
    <w:rsid w:val="002420F1"/>
    <w:rsid w:val="00253AC8"/>
    <w:rsid w:val="00256B39"/>
    <w:rsid w:val="0026033C"/>
    <w:rsid w:val="002643EF"/>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38FC"/>
    <w:rsid w:val="002B7322"/>
    <w:rsid w:val="002C50D4"/>
    <w:rsid w:val="002C58B6"/>
    <w:rsid w:val="002D0E86"/>
    <w:rsid w:val="002D7C47"/>
    <w:rsid w:val="002E33CE"/>
    <w:rsid w:val="002E3721"/>
    <w:rsid w:val="002E6F95"/>
    <w:rsid w:val="002E764D"/>
    <w:rsid w:val="002F0E8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916B6"/>
    <w:rsid w:val="003A1680"/>
    <w:rsid w:val="003A373C"/>
    <w:rsid w:val="003A5874"/>
    <w:rsid w:val="003B1258"/>
    <w:rsid w:val="003B4A81"/>
    <w:rsid w:val="003C1F8D"/>
    <w:rsid w:val="003C61A5"/>
    <w:rsid w:val="003D079F"/>
    <w:rsid w:val="003D1968"/>
    <w:rsid w:val="003D4994"/>
    <w:rsid w:val="003E10A5"/>
    <w:rsid w:val="003E7D72"/>
    <w:rsid w:val="003F3923"/>
    <w:rsid w:val="003F43F6"/>
    <w:rsid w:val="003F514D"/>
    <w:rsid w:val="004019DB"/>
    <w:rsid w:val="00402B67"/>
    <w:rsid w:val="00403C91"/>
    <w:rsid w:val="0040433E"/>
    <w:rsid w:val="00404974"/>
    <w:rsid w:val="0040726A"/>
    <w:rsid w:val="004100B0"/>
    <w:rsid w:val="0041267F"/>
    <w:rsid w:val="004206BF"/>
    <w:rsid w:val="0042484C"/>
    <w:rsid w:val="00424BA5"/>
    <w:rsid w:val="00425431"/>
    <w:rsid w:val="004307A7"/>
    <w:rsid w:val="00431829"/>
    <w:rsid w:val="00437B60"/>
    <w:rsid w:val="004405E6"/>
    <w:rsid w:val="00443C84"/>
    <w:rsid w:val="00443C89"/>
    <w:rsid w:val="004540AA"/>
    <w:rsid w:val="004544AB"/>
    <w:rsid w:val="00456BD8"/>
    <w:rsid w:val="00456DC8"/>
    <w:rsid w:val="0046549D"/>
    <w:rsid w:val="00471668"/>
    <w:rsid w:val="0047730F"/>
    <w:rsid w:val="00481F98"/>
    <w:rsid w:val="004852BF"/>
    <w:rsid w:val="004874D5"/>
    <w:rsid w:val="00487A46"/>
    <w:rsid w:val="00493504"/>
    <w:rsid w:val="00494579"/>
    <w:rsid w:val="00497334"/>
    <w:rsid w:val="004A1750"/>
    <w:rsid w:val="004A4645"/>
    <w:rsid w:val="004A6F3A"/>
    <w:rsid w:val="004B01C3"/>
    <w:rsid w:val="004B408D"/>
    <w:rsid w:val="004B6F68"/>
    <w:rsid w:val="004B72D0"/>
    <w:rsid w:val="004B73F7"/>
    <w:rsid w:val="004C5435"/>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083D"/>
    <w:rsid w:val="00551335"/>
    <w:rsid w:val="005515D8"/>
    <w:rsid w:val="005519BB"/>
    <w:rsid w:val="005523FD"/>
    <w:rsid w:val="00553D03"/>
    <w:rsid w:val="00555BA0"/>
    <w:rsid w:val="00556E41"/>
    <w:rsid w:val="00562340"/>
    <w:rsid w:val="00567288"/>
    <w:rsid w:val="0057496F"/>
    <w:rsid w:val="005770A6"/>
    <w:rsid w:val="00587A15"/>
    <w:rsid w:val="0059045B"/>
    <w:rsid w:val="00597EC2"/>
    <w:rsid w:val="005A13AB"/>
    <w:rsid w:val="005B1150"/>
    <w:rsid w:val="005B1FFC"/>
    <w:rsid w:val="005B2B6D"/>
    <w:rsid w:val="005B4B4E"/>
    <w:rsid w:val="005C3A76"/>
    <w:rsid w:val="005D01B5"/>
    <w:rsid w:val="005D5B6F"/>
    <w:rsid w:val="005E38A5"/>
    <w:rsid w:val="005F5185"/>
    <w:rsid w:val="0062115C"/>
    <w:rsid w:val="0062265B"/>
    <w:rsid w:val="00624540"/>
    <w:rsid w:val="00624B5C"/>
    <w:rsid w:val="00624FE1"/>
    <w:rsid w:val="006253AC"/>
    <w:rsid w:val="006254E9"/>
    <w:rsid w:val="0062577D"/>
    <w:rsid w:val="006304DD"/>
    <w:rsid w:val="0063249D"/>
    <w:rsid w:val="006331EE"/>
    <w:rsid w:val="006355E6"/>
    <w:rsid w:val="00637E00"/>
    <w:rsid w:val="0064038A"/>
    <w:rsid w:val="0065167D"/>
    <w:rsid w:val="00652D13"/>
    <w:rsid w:val="0066595A"/>
    <w:rsid w:val="00666206"/>
    <w:rsid w:val="00672788"/>
    <w:rsid w:val="00676183"/>
    <w:rsid w:val="006761C2"/>
    <w:rsid w:val="00676A76"/>
    <w:rsid w:val="00680DA3"/>
    <w:rsid w:val="0068377F"/>
    <w:rsid w:val="00691B24"/>
    <w:rsid w:val="00695B93"/>
    <w:rsid w:val="006965B3"/>
    <w:rsid w:val="00697C16"/>
    <w:rsid w:val="006A5A89"/>
    <w:rsid w:val="006A6BC0"/>
    <w:rsid w:val="006B3BB9"/>
    <w:rsid w:val="006B48AC"/>
    <w:rsid w:val="006B5977"/>
    <w:rsid w:val="006D1B59"/>
    <w:rsid w:val="006D2F9C"/>
    <w:rsid w:val="006D3024"/>
    <w:rsid w:val="006D4351"/>
    <w:rsid w:val="006D5424"/>
    <w:rsid w:val="006E5CA9"/>
    <w:rsid w:val="006E5E98"/>
    <w:rsid w:val="006E7A37"/>
    <w:rsid w:val="006F3151"/>
    <w:rsid w:val="007011CA"/>
    <w:rsid w:val="007056DE"/>
    <w:rsid w:val="00706121"/>
    <w:rsid w:val="00710B6B"/>
    <w:rsid w:val="00712A2C"/>
    <w:rsid w:val="00712E84"/>
    <w:rsid w:val="00712FA7"/>
    <w:rsid w:val="00714914"/>
    <w:rsid w:val="007208D6"/>
    <w:rsid w:val="00726786"/>
    <w:rsid w:val="00732152"/>
    <w:rsid w:val="00735651"/>
    <w:rsid w:val="007428DF"/>
    <w:rsid w:val="00742BD1"/>
    <w:rsid w:val="00742E7A"/>
    <w:rsid w:val="0074424F"/>
    <w:rsid w:val="007450BA"/>
    <w:rsid w:val="00750736"/>
    <w:rsid w:val="00751551"/>
    <w:rsid w:val="0075319C"/>
    <w:rsid w:val="0076036B"/>
    <w:rsid w:val="00764FD9"/>
    <w:rsid w:val="007740B2"/>
    <w:rsid w:val="00774C1F"/>
    <w:rsid w:val="0078194F"/>
    <w:rsid w:val="007832B3"/>
    <w:rsid w:val="007934A4"/>
    <w:rsid w:val="00797B2B"/>
    <w:rsid w:val="007A0AC9"/>
    <w:rsid w:val="007A13A3"/>
    <w:rsid w:val="007A1B70"/>
    <w:rsid w:val="007A34D3"/>
    <w:rsid w:val="007A57F6"/>
    <w:rsid w:val="007A6809"/>
    <w:rsid w:val="007B4FFB"/>
    <w:rsid w:val="007C0BCE"/>
    <w:rsid w:val="007C1D1B"/>
    <w:rsid w:val="007C3566"/>
    <w:rsid w:val="007C794A"/>
    <w:rsid w:val="007D05BE"/>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0D5E"/>
    <w:rsid w:val="0084242F"/>
    <w:rsid w:val="00845795"/>
    <w:rsid w:val="00847437"/>
    <w:rsid w:val="00877FCA"/>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E1C47"/>
    <w:rsid w:val="008E4918"/>
    <w:rsid w:val="008F253F"/>
    <w:rsid w:val="008F7F31"/>
    <w:rsid w:val="00900019"/>
    <w:rsid w:val="009023B1"/>
    <w:rsid w:val="009147D6"/>
    <w:rsid w:val="00914D98"/>
    <w:rsid w:val="00925F8C"/>
    <w:rsid w:val="00927324"/>
    <w:rsid w:val="00932ED7"/>
    <w:rsid w:val="00933990"/>
    <w:rsid w:val="00941B89"/>
    <w:rsid w:val="00941DEA"/>
    <w:rsid w:val="009571DE"/>
    <w:rsid w:val="009656CC"/>
    <w:rsid w:val="00970E8C"/>
    <w:rsid w:val="00971671"/>
    <w:rsid w:val="00981A37"/>
    <w:rsid w:val="009830B2"/>
    <w:rsid w:val="0099063E"/>
    <w:rsid w:val="00992356"/>
    <w:rsid w:val="00992674"/>
    <w:rsid w:val="00994793"/>
    <w:rsid w:val="00996AE3"/>
    <w:rsid w:val="00997E4B"/>
    <w:rsid w:val="009A0450"/>
    <w:rsid w:val="009A1E27"/>
    <w:rsid w:val="009A307B"/>
    <w:rsid w:val="009B04E7"/>
    <w:rsid w:val="009B14E8"/>
    <w:rsid w:val="009B446C"/>
    <w:rsid w:val="009B4D21"/>
    <w:rsid w:val="009B5A73"/>
    <w:rsid w:val="009C121D"/>
    <w:rsid w:val="009C54C9"/>
    <w:rsid w:val="009C589C"/>
    <w:rsid w:val="009D192B"/>
    <w:rsid w:val="009D2582"/>
    <w:rsid w:val="009D33E1"/>
    <w:rsid w:val="009D3B45"/>
    <w:rsid w:val="009D56DB"/>
    <w:rsid w:val="009D7CF9"/>
    <w:rsid w:val="009E1360"/>
    <w:rsid w:val="009E2CCC"/>
    <w:rsid w:val="009E2CDD"/>
    <w:rsid w:val="009E366E"/>
    <w:rsid w:val="009E6FC4"/>
    <w:rsid w:val="009F00DC"/>
    <w:rsid w:val="009F015E"/>
    <w:rsid w:val="009F3199"/>
    <w:rsid w:val="009F3355"/>
    <w:rsid w:val="009F3648"/>
    <w:rsid w:val="009F3B7A"/>
    <w:rsid w:val="009F43CE"/>
    <w:rsid w:val="009F54D0"/>
    <w:rsid w:val="00A00D03"/>
    <w:rsid w:val="00A01353"/>
    <w:rsid w:val="00A04523"/>
    <w:rsid w:val="00A14C5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95BBB"/>
    <w:rsid w:val="00A97E76"/>
    <w:rsid w:val="00AA39D0"/>
    <w:rsid w:val="00AA4970"/>
    <w:rsid w:val="00AA536D"/>
    <w:rsid w:val="00AB1825"/>
    <w:rsid w:val="00AB22C0"/>
    <w:rsid w:val="00AB28FC"/>
    <w:rsid w:val="00AB49E4"/>
    <w:rsid w:val="00AC1479"/>
    <w:rsid w:val="00AC2AAC"/>
    <w:rsid w:val="00AC40F1"/>
    <w:rsid w:val="00AC4C45"/>
    <w:rsid w:val="00AC71BD"/>
    <w:rsid w:val="00AD1085"/>
    <w:rsid w:val="00AD1330"/>
    <w:rsid w:val="00AD5B40"/>
    <w:rsid w:val="00AF289F"/>
    <w:rsid w:val="00AF30B9"/>
    <w:rsid w:val="00AF43DF"/>
    <w:rsid w:val="00AF67A4"/>
    <w:rsid w:val="00AF7510"/>
    <w:rsid w:val="00B0434A"/>
    <w:rsid w:val="00B04E12"/>
    <w:rsid w:val="00B11274"/>
    <w:rsid w:val="00B12D31"/>
    <w:rsid w:val="00B15F6E"/>
    <w:rsid w:val="00B21BEE"/>
    <w:rsid w:val="00B23284"/>
    <w:rsid w:val="00B250BC"/>
    <w:rsid w:val="00B30297"/>
    <w:rsid w:val="00B37D43"/>
    <w:rsid w:val="00B46F21"/>
    <w:rsid w:val="00B511A5"/>
    <w:rsid w:val="00B51CDE"/>
    <w:rsid w:val="00B56541"/>
    <w:rsid w:val="00B57DC5"/>
    <w:rsid w:val="00B603E3"/>
    <w:rsid w:val="00B605ED"/>
    <w:rsid w:val="00B71F97"/>
    <w:rsid w:val="00B72538"/>
    <w:rsid w:val="00B736A7"/>
    <w:rsid w:val="00B747B6"/>
    <w:rsid w:val="00B74BDA"/>
    <w:rsid w:val="00B7651F"/>
    <w:rsid w:val="00B807BB"/>
    <w:rsid w:val="00B81F0A"/>
    <w:rsid w:val="00B84B1C"/>
    <w:rsid w:val="00B919FA"/>
    <w:rsid w:val="00B92438"/>
    <w:rsid w:val="00B94A16"/>
    <w:rsid w:val="00BA6044"/>
    <w:rsid w:val="00BB1A93"/>
    <w:rsid w:val="00BB606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2A88"/>
    <w:rsid w:val="00C24718"/>
    <w:rsid w:val="00C249EC"/>
    <w:rsid w:val="00C2675D"/>
    <w:rsid w:val="00C30AEE"/>
    <w:rsid w:val="00C33362"/>
    <w:rsid w:val="00C353AE"/>
    <w:rsid w:val="00C4194E"/>
    <w:rsid w:val="00C516B1"/>
    <w:rsid w:val="00C5350C"/>
    <w:rsid w:val="00C56E09"/>
    <w:rsid w:val="00C61B1B"/>
    <w:rsid w:val="00C65943"/>
    <w:rsid w:val="00C66AB7"/>
    <w:rsid w:val="00C673D1"/>
    <w:rsid w:val="00C746CB"/>
    <w:rsid w:val="00C77BBF"/>
    <w:rsid w:val="00C77D64"/>
    <w:rsid w:val="00C81564"/>
    <w:rsid w:val="00C8546B"/>
    <w:rsid w:val="00C90702"/>
    <w:rsid w:val="00C9080C"/>
    <w:rsid w:val="00C94429"/>
    <w:rsid w:val="00CA18FD"/>
    <w:rsid w:val="00CA27E5"/>
    <w:rsid w:val="00CA4897"/>
    <w:rsid w:val="00CA6928"/>
    <w:rsid w:val="00CB3868"/>
    <w:rsid w:val="00CB3D3F"/>
    <w:rsid w:val="00CB5A1A"/>
    <w:rsid w:val="00CC59E6"/>
    <w:rsid w:val="00CD5BDD"/>
    <w:rsid w:val="00CF096B"/>
    <w:rsid w:val="00CF10F7"/>
    <w:rsid w:val="00CF5EE3"/>
    <w:rsid w:val="00CF691F"/>
    <w:rsid w:val="00D00D99"/>
    <w:rsid w:val="00D013A4"/>
    <w:rsid w:val="00D026DC"/>
    <w:rsid w:val="00D02F20"/>
    <w:rsid w:val="00D10F29"/>
    <w:rsid w:val="00D15595"/>
    <w:rsid w:val="00D33BEB"/>
    <w:rsid w:val="00D343A8"/>
    <w:rsid w:val="00D37832"/>
    <w:rsid w:val="00D44860"/>
    <w:rsid w:val="00D47689"/>
    <w:rsid w:val="00D50C42"/>
    <w:rsid w:val="00D57CF5"/>
    <w:rsid w:val="00D612BC"/>
    <w:rsid w:val="00D62F98"/>
    <w:rsid w:val="00D66FD6"/>
    <w:rsid w:val="00D8285B"/>
    <w:rsid w:val="00D862EB"/>
    <w:rsid w:val="00D86619"/>
    <w:rsid w:val="00D93E7C"/>
    <w:rsid w:val="00D94E69"/>
    <w:rsid w:val="00DA191A"/>
    <w:rsid w:val="00DA5307"/>
    <w:rsid w:val="00DB2BE6"/>
    <w:rsid w:val="00DB5CFF"/>
    <w:rsid w:val="00DB76B3"/>
    <w:rsid w:val="00DC29B3"/>
    <w:rsid w:val="00DD1052"/>
    <w:rsid w:val="00DD399D"/>
    <w:rsid w:val="00DD3C7B"/>
    <w:rsid w:val="00DE2B21"/>
    <w:rsid w:val="00DE48DE"/>
    <w:rsid w:val="00DF25F2"/>
    <w:rsid w:val="00DF4166"/>
    <w:rsid w:val="00DF7D3D"/>
    <w:rsid w:val="00E000F4"/>
    <w:rsid w:val="00E01231"/>
    <w:rsid w:val="00E04279"/>
    <w:rsid w:val="00E11393"/>
    <w:rsid w:val="00E125D9"/>
    <w:rsid w:val="00E16D30"/>
    <w:rsid w:val="00E31E69"/>
    <w:rsid w:val="00E33169"/>
    <w:rsid w:val="00E337A3"/>
    <w:rsid w:val="00E34A7B"/>
    <w:rsid w:val="00E40973"/>
    <w:rsid w:val="00E417EB"/>
    <w:rsid w:val="00E545FF"/>
    <w:rsid w:val="00E6080E"/>
    <w:rsid w:val="00E64168"/>
    <w:rsid w:val="00E655B3"/>
    <w:rsid w:val="00E665F3"/>
    <w:rsid w:val="00E7081D"/>
    <w:rsid w:val="00E70904"/>
    <w:rsid w:val="00E71319"/>
    <w:rsid w:val="00E75171"/>
    <w:rsid w:val="00E804B0"/>
    <w:rsid w:val="00E86772"/>
    <w:rsid w:val="00E90B8B"/>
    <w:rsid w:val="00E93ADD"/>
    <w:rsid w:val="00E94343"/>
    <w:rsid w:val="00E952D8"/>
    <w:rsid w:val="00EA607B"/>
    <w:rsid w:val="00EA6543"/>
    <w:rsid w:val="00EB00E4"/>
    <w:rsid w:val="00EB28DA"/>
    <w:rsid w:val="00EB3812"/>
    <w:rsid w:val="00EB44EB"/>
    <w:rsid w:val="00EB66B8"/>
    <w:rsid w:val="00EB791E"/>
    <w:rsid w:val="00EC3D8E"/>
    <w:rsid w:val="00EC70A9"/>
    <w:rsid w:val="00ED4C3A"/>
    <w:rsid w:val="00EE1C85"/>
    <w:rsid w:val="00EE2D0C"/>
    <w:rsid w:val="00EE4B5F"/>
    <w:rsid w:val="00EF21D9"/>
    <w:rsid w:val="00EF2A94"/>
    <w:rsid w:val="00EF32FB"/>
    <w:rsid w:val="00EF44B1"/>
    <w:rsid w:val="00EF4865"/>
    <w:rsid w:val="00EF4AC2"/>
    <w:rsid w:val="00EF5954"/>
    <w:rsid w:val="00F051C4"/>
    <w:rsid w:val="00F100D2"/>
    <w:rsid w:val="00F12942"/>
    <w:rsid w:val="00F13C41"/>
    <w:rsid w:val="00F14886"/>
    <w:rsid w:val="00F16421"/>
    <w:rsid w:val="00F201EE"/>
    <w:rsid w:val="00F35AA0"/>
    <w:rsid w:val="00F43C49"/>
    <w:rsid w:val="00F45C12"/>
    <w:rsid w:val="00F544A2"/>
    <w:rsid w:val="00F61E03"/>
    <w:rsid w:val="00F73D03"/>
    <w:rsid w:val="00F76CB9"/>
    <w:rsid w:val="00F76FBF"/>
    <w:rsid w:val="00F77A73"/>
    <w:rsid w:val="00F80E46"/>
    <w:rsid w:val="00F94F2B"/>
    <w:rsid w:val="00F96236"/>
    <w:rsid w:val="00FA10CE"/>
    <w:rsid w:val="00FA222F"/>
    <w:rsid w:val="00FA2891"/>
    <w:rsid w:val="00FB693D"/>
    <w:rsid w:val="00FB7768"/>
    <w:rsid w:val="00FC7489"/>
    <w:rsid w:val="00FD1BA8"/>
    <w:rsid w:val="00FD218F"/>
    <w:rsid w:val="00FD27C1"/>
    <w:rsid w:val="00FD5663"/>
    <w:rsid w:val="00FD56C6"/>
    <w:rsid w:val="00FD60A0"/>
    <w:rsid w:val="00FE3221"/>
    <w:rsid w:val="00FE48EA"/>
    <w:rsid w:val="00FE571F"/>
    <w:rsid w:val="00FF47F6"/>
    <w:rsid w:val="016E63C2"/>
    <w:rsid w:val="024B0C39"/>
    <w:rsid w:val="03E77005"/>
    <w:rsid w:val="04E11F27"/>
    <w:rsid w:val="06E84FDF"/>
    <w:rsid w:val="0A8128A6"/>
    <w:rsid w:val="0BF32A1B"/>
    <w:rsid w:val="0DA61477"/>
    <w:rsid w:val="0FAA4122"/>
    <w:rsid w:val="0FC401FA"/>
    <w:rsid w:val="10BD2C22"/>
    <w:rsid w:val="13E42C19"/>
    <w:rsid w:val="1D7C0366"/>
    <w:rsid w:val="22987C80"/>
    <w:rsid w:val="24192CCC"/>
    <w:rsid w:val="250F386E"/>
    <w:rsid w:val="269B724E"/>
    <w:rsid w:val="27420DB4"/>
    <w:rsid w:val="2A472A54"/>
    <w:rsid w:val="357B6BD5"/>
    <w:rsid w:val="39400042"/>
    <w:rsid w:val="39A44A75"/>
    <w:rsid w:val="39A66CD4"/>
    <w:rsid w:val="3A922B1F"/>
    <w:rsid w:val="3CD52CE1"/>
    <w:rsid w:val="3E9C7A21"/>
    <w:rsid w:val="410F2E6A"/>
    <w:rsid w:val="43F81C45"/>
    <w:rsid w:val="4430136C"/>
    <w:rsid w:val="448434D9"/>
    <w:rsid w:val="4AB0382B"/>
    <w:rsid w:val="51321A00"/>
    <w:rsid w:val="519136D9"/>
    <w:rsid w:val="531225F7"/>
    <w:rsid w:val="569868B5"/>
    <w:rsid w:val="593A4B28"/>
    <w:rsid w:val="5A3F0176"/>
    <w:rsid w:val="5AB346C0"/>
    <w:rsid w:val="5B625729"/>
    <w:rsid w:val="5D8D2FA6"/>
    <w:rsid w:val="5E764A8B"/>
    <w:rsid w:val="5F943BE9"/>
    <w:rsid w:val="60786190"/>
    <w:rsid w:val="611F6817"/>
    <w:rsid w:val="643A0E4D"/>
    <w:rsid w:val="65A16E43"/>
    <w:rsid w:val="66CA1754"/>
    <w:rsid w:val="6BD15A4D"/>
    <w:rsid w:val="6E1B45FE"/>
    <w:rsid w:val="6F1E65D4"/>
    <w:rsid w:val="6F266C86"/>
    <w:rsid w:val="6F5042C2"/>
    <w:rsid w:val="712A7252"/>
    <w:rsid w:val="730D5D09"/>
    <w:rsid w:val="74316312"/>
    <w:rsid w:val="75FE05AC"/>
    <w:rsid w:val="775311B0"/>
    <w:rsid w:val="780F13C8"/>
    <w:rsid w:val="79880080"/>
    <w:rsid w:val="7A517F69"/>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1"/>
    <w:autoRedefine/>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2"/>
    <w:autoRedefine/>
    <w:qFormat/>
    <w:uiPriority w:val="99"/>
    <w:pPr>
      <w:widowControl w:val="0"/>
    </w:pPr>
    <w:rPr>
      <w:rFonts w:ascii="Times New Roman" w:hAnsi="Times New Roman" w:cs="Times New Roman"/>
      <w:kern w:val="2"/>
      <w:sz w:val="21"/>
    </w:rPr>
  </w:style>
  <w:style w:type="paragraph" w:styleId="4">
    <w:name w:val="Body Text"/>
    <w:basedOn w:val="1"/>
    <w:autoRedefine/>
    <w:qFormat/>
    <w:uiPriority w:val="1"/>
    <w:pPr>
      <w:spacing w:before="55"/>
      <w:ind w:left="216"/>
    </w:pPr>
    <w:rPr>
      <w:sz w:val="20"/>
      <w:szCs w:val="20"/>
      <w:lang w:eastAsia="en-US" w:bidi="en-US"/>
    </w:rPr>
  </w:style>
  <w:style w:type="paragraph" w:styleId="5">
    <w:name w:val="Balloon Text"/>
    <w:basedOn w:val="1"/>
    <w:link w:val="26"/>
    <w:semiHidden/>
    <w:unhideWhenUsed/>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autoRedefine/>
    <w:unhideWhenUsed/>
    <w:qFormat/>
    <w:uiPriority w:val="99"/>
    <w:pPr>
      <w:spacing w:before="100" w:beforeAutospacing="1" w:after="100" w:afterAutospacing="1"/>
    </w:pPr>
  </w:style>
  <w:style w:type="table" w:styleId="10">
    <w:name w:val="Table Grid"/>
    <w:basedOn w:val="9"/>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uiPriority w:val="22"/>
    <w:rPr>
      <w:b/>
      <w:bCs/>
    </w:rPr>
  </w:style>
  <w:style w:type="character" w:customStyle="1" w:styleId="13">
    <w:name w:val="页眉 Char"/>
    <w:basedOn w:val="11"/>
    <w:link w:val="7"/>
    <w:autoRedefine/>
    <w:semiHidden/>
    <w:qFormat/>
    <w:uiPriority w:val="99"/>
    <w:rPr>
      <w:sz w:val="18"/>
      <w:szCs w:val="18"/>
    </w:rPr>
  </w:style>
  <w:style w:type="character" w:customStyle="1" w:styleId="14">
    <w:name w:val="页脚 Char"/>
    <w:basedOn w:val="11"/>
    <w:link w:val="6"/>
    <w:autoRedefine/>
    <w:qFormat/>
    <w:uiPriority w:val="99"/>
    <w:rPr>
      <w:sz w:val="18"/>
      <w:szCs w:val="18"/>
    </w:rPr>
  </w:style>
  <w:style w:type="paragraph" w:customStyle="1" w:styleId="15">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6">
    <w:name w:val="表格正文DG"/>
    <w:basedOn w:val="1"/>
    <w:autoRedefine/>
    <w:qFormat/>
    <w:uiPriority w:val="0"/>
    <w:pPr>
      <w:widowControl w:val="0"/>
      <w:jc w:val="both"/>
    </w:pPr>
    <w:rPr>
      <w:rFonts w:ascii="Times New Roman" w:hAnsi="Times New Roman"/>
      <w:color w:val="000000"/>
      <w:sz w:val="21"/>
      <w:szCs w:val="21"/>
    </w:rPr>
  </w:style>
  <w:style w:type="paragraph" w:styleId="17">
    <w:name w:val="List Paragraph"/>
    <w:basedOn w:val="1"/>
    <w:autoRedefine/>
    <w:unhideWhenUsed/>
    <w:qFormat/>
    <w:uiPriority w:val="99"/>
    <w:pPr>
      <w:ind w:firstLine="420" w:firstLineChars="200"/>
    </w:pPr>
  </w:style>
  <w:style w:type="paragraph" w:customStyle="1" w:styleId="18">
    <w:name w:val="一级标题DG"/>
    <w:basedOn w:val="1"/>
    <w:autoRedefine/>
    <w:qFormat/>
    <w:uiPriority w:val="0"/>
    <w:pPr>
      <w:spacing w:line="480" w:lineRule="auto"/>
      <w:outlineLvl w:val="0"/>
    </w:pPr>
    <w:rPr>
      <w:rFonts w:ascii="Arial" w:hAnsi="Arial" w:eastAsia="黑体"/>
      <w:sz w:val="28"/>
    </w:rPr>
  </w:style>
  <w:style w:type="paragraph" w:customStyle="1" w:styleId="19">
    <w:name w:val="二级标题DG"/>
    <w:basedOn w:val="8"/>
    <w:autoRedefine/>
    <w:qFormat/>
    <w:uiPriority w:val="0"/>
    <w:pPr>
      <w:spacing w:before="326" w:beforeLines="100" w:beforeAutospacing="0" w:after="163" w:afterLines="50" w:afterAutospacing="0" w:line="440" w:lineRule="exact"/>
      <w:outlineLvl w:val="1"/>
    </w:pPr>
    <w:rPr>
      <w:rFonts w:ascii="Times New Roman" w:hAnsi="Times New Roman"/>
      <w:b/>
    </w:rPr>
  </w:style>
  <w:style w:type="paragraph" w:customStyle="1" w:styleId="20">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1">
    <w:name w:val="标题 1 Char"/>
    <w:basedOn w:val="11"/>
    <w:link w:val="2"/>
    <w:autoRedefine/>
    <w:qFormat/>
    <w:uiPriority w:val="9"/>
    <w:rPr>
      <w:rFonts w:ascii="Calibri" w:hAnsi="Calibri" w:eastAsia="宋体" w:cs="Times New Roman"/>
      <w:b/>
      <w:bCs/>
      <w:kern w:val="44"/>
      <w:sz w:val="44"/>
      <w:szCs w:val="44"/>
    </w:rPr>
  </w:style>
  <w:style w:type="character" w:customStyle="1" w:styleId="22">
    <w:name w:val="批注文字 Char"/>
    <w:basedOn w:val="11"/>
    <w:link w:val="3"/>
    <w:autoRedefine/>
    <w:qFormat/>
    <w:uiPriority w:val="99"/>
    <w:rPr>
      <w:rFonts w:ascii="Times New Roman" w:hAnsi="Times New Roman" w:eastAsia="宋体" w:cs="Times New Roman"/>
      <w:kern w:val="2"/>
      <w:sz w:val="21"/>
      <w:szCs w:val="24"/>
    </w:rPr>
  </w:style>
  <w:style w:type="character" w:customStyle="1" w:styleId="23">
    <w:name w:val="editor-text-node"/>
    <w:basedOn w:val="11"/>
    <w:autoRedefine/>
    <w:qFormat/>
    <w:uiPriority w:val="0"/>
  </w:style>
  <w:style w:type="character" w:styleId="24">
    <w:name w:val="Placeholder Text"/>
    <w:basedOn w:val="11"/>
    <w:autoRedefine/>
    <w:unhideWhenUsed/>
    <w:qFormat/>
    <w:uiPriority w:val="99"/>
    <w:rPr>
      <w:color w:val="808080"/>
    </w:rPr>
  </w:style>
  <w:style w:type="paragraph" w:customStyle="1" w:styleId="25">
    <w:name w:val="列出段落1111"/>
    <w:basedOn w:val="1"/>
    <w:autoRedefine/>
    <w:qFormat/>
    <w:uiPriority w:val="34"/>
    <w:pPr>
      <w:ind w:left="720" w:firstLine="360"/>
      <w:contextualSpacing/>
    </w:pPr>
    <w:rPr>
      <w:rFonts w:ascii="Calibri" w:hAnsi="Calibri"/>
      <w:sz w:val="22"/>
    </w:rPr>
  </w:style>
  <w:style w:type="character" w:customStyle="1" w:styleId="26">
    <w:name w:val="批注框文本 Char"/>
    <w:basedOn w:val="11"/>
    <w:link w:val="5"/>
    <w:semiHidden/>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4CEBAB-18FA-4E08-9263-AB612F770E24}">
  <ds:schemaRefs/>
</ds:datastoreItem>
</file>

<file path=docProps/app.xml><?xml version="1.0" encoding="utf-8"?>
<Properties xmlns="http://schemas.openxmlformats.org/officeDocument/2006/extended-properties" xmlns:vt="http://schemas.openxmlformats.org/officeDocument/2006/docPropsVTypes">
  <Template>Normal</Template>
  <Pages>9</Pages>
  <Words>766</Words>
  <Characters>4372</Characters>
  <Lines>36</Lines>
  <Paragraphs>10</Paragraphs>
  <TotalTime>0</TotalTime>
  <ScaleCrop>false</ScaleCrop>
  <LinksUpToDate>false</LinksUpToDate>
  <CharactersWithSpaces>5128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培培</cp:lastModifiedBy>
  <cp:lastPrinted>2024-03-06T06:34:00Z</cp:lastPrinted>
  <dcterms:modified xsi:type="dcterms:W3CDTF">2024-03-08T03:28:33Z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F9F50904C0EE4CF4890CCDB0CBE38250_12</vt:lpwstr>
  </property>
</Properties>
</file>