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急救医学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【Medicine of Emergency】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2170035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健康服务与管理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健康管理学院健康服务与管理系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val="en-US" w:eastAsia="zh-CN"/>
        </w:rPr>
        <w:t>现场急救知识与技术，主编：窦英茹、张菁，科学出版社，2018年4月第一版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参考书目【现场急救学，主编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  <w:r>
        <w:rPr>
          <w:rFonts w:hint="eastAsia"/>
          <w:color w:val="000000"/>
          <w:sz w:val="20"/>
          <w:szCs w:val="20"/>
          <w:lang w:val="en-US" w:eastAsia="zh-CN"/>
        </w:rPr>
        <w:t>陈晓松、刘建华，人民卫生出版社，2009年10月第1版；急救医学学习指导与习题集，主编：方邦江，罗翌，人民卫生出版社，2012年5月第1版；临床急救医学，主编：吴晓，胡善友，上海科学技术出版社，2019年2月同上,；急救医学，主编：王育珊，高等教育出版社，2015年7月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 xml:space="preserve">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正常人体结构学2170001（4），正常人体功能学2170002（4），疾病学基础2170003（4），流行病学2170004（3），临床医学概论2170006（4），药理学2170004（3）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急救医学</w:t>
      </w:r>
      <w:r>
        <w:rPr>
          <w:rFonts w:hint="eastAsia"/>
          <w:color w:val="000000"/>
          <w:sz w:val="20"/>
          <w:szCs w:val="20"/>
        </w:rPr>
        <w:t>》作为一门具有很强的综合性和实践性的学科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  <w:lang w:val="en-US" w:eastAsia="zh-CN"/>
        </w:rPr>
        <w:t>随着医学知识的普及和医学自身的发展，医疗卫生、保健工作的重点将逐渐从医疗卫生单位转移到家庭和社会。自我保健、自我救治、相互救治将成为人们防治疾病、保障健康的基本手段。本课程旨在普及基础急救知识，教授基本急救技能，包括心肺复苏、创伤的急救四大技术（止血、包扎、固定、搬运）、常见病突发病的应对、以及遇上某些意外灾害事故（如车祸、地震、火灾等）后的避险逃生和自救互救常识。本课程教授过程中重视学生急救意识和急救技能的培养，教授方法包括理论讲授和技能训练。</w:t>
      </w:r>
    </w:p>
    <w:p>
      <w:pPr>
        <w:spacing w:line="312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本课程教学总时数32学时，其中理论教学24学时、实践教学8学时。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本课程建议安排在健康服务与管理专业第二学年第二学期开设。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54" w:tblpY="59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LO11：表达沟通 应用书面和语言形式，分析健康问题，拟定健康改善计划，并能精准表达，让服务对象乐意接受，形成良性互动。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LO21：自主学习 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LO31：医疗保健 掌握基本医疗保健知识和技能。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LO32：健康评估：能全面评估服务对象的健康状态，具有健康监测、健康风险评估能力。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LO33：健康教育 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LO34：健康促进 掌握慢性病管理相关知识，协助医生开展慢性病病人社区健康管理，包括健康干预方案的跟踪随访。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LO35：健康咨询 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LO36：健康管理 掌握对个人或人群的健康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instrText xml:space="preserve"> HYPERLINK "https://baike.baidu.com/item/%E5%8D%B1%E9%99%A9/3088" \t "https://baike.baidu.com/item/%E5%81%A5%E5%BA%B7%E7%AE%A1%E7%90%86/_blank" </w:instrTex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风险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LO41：尽责抗压 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LO51：协同创新 具有积极的团队合作精神和创新创业意识，了解并灵活运用国家创新、创业相关政策，结合所学专业知识和技能，不断提出新设想。  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LO61：信息应用 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LO71：服务关爱 富有爱心，懂得感恩，具备助人为乐的品质。具有服务企业、服务社会的意愿和行为能力。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LO81：国际视野 有国际竞争与合作意识。具有运用一门外语阅读相关文献和简单会话能力。有跨文化交流能力。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/>
          <w:sz w:val="20"/>
          <w:szCs w:val="20"/>
          <w:lang w:val="en-US" w:eastAsia="zh-CN"/>
        </w:rPr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line="360" w:lineRule="auto"/>
        <w:ind w:firstLine="600" w:firstLineChars="25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LO31 医疗保健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知识目标：掌握一定的现场自救互救的急救知识和技能。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讲授法、实训操作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纸笔测验评价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LO32健康评估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知识目标：能全面评估伤员的健康状态，具有现场及环境评估能力。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讲授法、实训操作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纸笔测验评价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LO71服务关爱</w:t>
            </w: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知识目标：富有爱心，懂得感恩，具备助人为乐的品质，树立救死扶伤的人道主义思想。具有服务服务社会的意愿和行为能力。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讲授法、实训操作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纸笔测验评价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实作评价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tbl>
      <w:tblPr>
        <w:tblStyle w:val="4"/>
        <w:tblpPr w:leftFromText="180" w:rightFromText="180" w:vertAnchor="text" w:horzAnchor="page" w:tblpX="1120" w:tblpY="1696"/>
        <w:tblOverlap w:val="never"/>
        <w:tblW w:w="97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3240"/>
        <w:gridCol w:w="2062"/>
        <w:gridCol w:w="1229"/>
        <w:gridCol w:w="580"/>
        <w:gridCol w:w="560"/>
        <w:gridCol w:w="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现场急救总则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1.知道现场急救学的原则、注意事项、急救呼救的方法；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2.理解救护员的职责，救护员的自身防护；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了解我国急救医疗体系。现场急救的目的、原则、步骤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。 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能够解释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现场</w:t>
            </w:r>
            <w:r>
              <w:rPr>
                <w:rFonts w:hint="eastAsia" w:ascii="宋体" w:hAnsi="宋体"/>
                <w:sz w:val="20"/>
                <w:szCs w:val="20"/>
              </w:rPr>
              <w:t>急救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我国急救</w:t>
            </w:r>
            <w:r>
              <w:rPr>
                <w:rFonts w:hint="eastAsia" w:ascii="宋体" w:hAnsi="宋体"/>
                <w:sz w:val="20"/>
                <w:szCs w:val="20"/>
              </w:rPr>
              <w:t>医疗体系的概念。阐述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现场急救学的</w:t>
            </w:r>
            <w:r>
              <w:rPr>
                <w:rFonts w:hint="eastAsia" w:ascii="宋体" w:hAnsi="宋体"/>
                <w:sz w:val="20"/>
                <w:szCs w:val="20"/>
              </w:rPr>
              <w:t>范畴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第一目击者的任务、紧急呼救的应用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能讲出现场评估与呼救的重要意义。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.能够描述现场救护的注意事项。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现场救护的注意事项</w:t>
            </w:r>
          </w:p>
        </w:tc>
        <w:tc>
          <w:tcPr>
            <w:tcW w:w="580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心搏骤停与心肺复苏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1.掌握心肺复苏的基本程序及有校指征。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2.熟悉心搏骤停的常见原因及临床表现。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3.了解心脏除颤术的步骤、应用及注意点。</w:t>
            </w:r>
          </w:p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能够正确评估心博骤停指征，</w:t>
            </w: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掌握实施心肺脑复苏术相关知识点、模拟实施</w:t>
            </w:r>
            <w:r>
              <w:rPr>
                <w:rFonts w:hint="eastAsia" w:ascii="宋体" w:hAnsi="宋体"/>
                <w:sz w:val="20"/>
                <w:szCs w:val="20"/>
                <w:lang w:val="zh-CN"/>
              </w:rPr>
              <w:t>心肺脑复苏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术</w:t>
            </w:r>
            <w:r>
              <w:rPr>
                <w:rFonts w:hint="eastAsia" w:ascii="宋体" w:hAnsi="宋体"/>
                <w:sz w:val="20"/>
                <w:szCs w:val="20"/>
                <w:lang w:val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掌握实施心脏除颤术相关知识点、模拟实施心脏除颤术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1.实施心肺复苏术2.正确使用除颤仪</w:t>
            </w:r>
          </w:p>
        </w:tc>
        <w:tc>
          <w:tcPr>
            <w:tcW w:w="580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创伤现场急救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掌握外伤四大技术（止血、包扎、固定、搬运）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熟悉止血、包扎、固定、搬运的注意事项；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熟悉特殊部位的创伤急救要点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熟悉关节扭伤及脱位的现场急救措施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了解特殊部位创伤的原因和表现</w:t>
            </w:r>
          </w:p>
        </w:tc>
        <w:tc>
          <w:tcPr>
            <w:tcW w:w="2062" w:type="dxa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3.能够掌握止血的部位、出血性质的判断及止血法的应用。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4.掌握包扎的目的和要求、包扎的应用、模拟实施包扎术。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5.掌握骨折的特征、现场处理原则、固定的注意事项。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6.掌握搬运伤员的要求、模拟实施徒手搬运法。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掌握止血、包扎、固定、搬运技术</w:t>
            </w:r>
          </w:p>
        </w:tc>
        <w:tc>
          <w:tcPr>
            <w:tcW w:w="58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常见意外伤害的现场急救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掌握触电与雷击伤、烧伤与烫伤、淹溺、呼吸道异物、狗咬伤与狂犬病、蜂蛰伤的现场急救原则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熟悉意外伤害事件的健康教育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了解伤害事件的病情评估与判断及临床表现</w:t>
            </w:r>
          </w:p>
        </w:tc>
        <w:tc>
          <w:tcPr>
            <w:tcW w:w="2062" w:type="dxa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.能够说出淹溺的临床表现、救治要点。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.能够知晓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烧伤与烫伤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的临床表现、救治要点。  </w:t>
            </w:r>
          </w:p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3.运用海姆立克急救法实施气道异物阻塞救治。</w:t>
            </w:r>
          </w:p>
          <w:p>
            <w:p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.能够学会触电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与雷击伤</w:t>
            </w:r>
            <w:r>
              <w:rPr>
                <w:rFonts w:hint="eastAsia" w:ascii="宋体" w:hAnsi="宋体"/>
                <w:sz w:val="20"/>
                <w:szCs w:val="20"/>
              </w:rPr>
              <w:t>的临床表现、救治要点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能够学会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狗咬伤与狂犬病、蜂蛰伤</w:t>
            </w:r>
            <w:r>
              <w:rPr>
                <w:rFonts w:hint="eastAsia" w:ascii="宋体" w:hAnsi="宋体"/>
                <w:sz w:val="20"/>
                <w:szCs w:val="20"/>
              </w:rPr>
              <w:t>的救护要点。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意外伤害（触电与雷击伤、烧伤与烫伤、淹溺、呼吸道异物、狗咬伤与狂犬病、蜂蛰伤）的急救要点</w:t>
            </w:r>
          </w:p>
        </w:tc>
        <w:tc>
          <w:tcPr>
            <w:tcW w:w="58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常见急诊的现场急救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掌握常见急症（意识丧失、低血糖症、脑卒中、急性胸痛、休克、哮喘、癫痫、中暑）的现场急救要点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熟悉上述常见急症的主要临床表现及诱发因素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了解上述常见急症发生的机制</w:t>
            </w:r>
          </w:p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能够分辨出常见急症（意识丧失、低血糖症、脑卒中、急性胸痛、休克、哮喘、癫痫、中暑）等症状，运用</w:t>
            </w:r>
            <w:r>
              <w:rPr>
                <w:rFonts w:hint="eastAsia" w:ascii="宋体" w:hAnsi="宋体"/>
                <w:sz w:val="20"/>
                <w:szCs w:val="20"/>
              </w:rPr>
              <w:t>紧急救护原则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病情评估、急救要点，实施应对方法。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常见急症（意识丧失、低血糖症、脑卒中、急性胸痛、休克、哮喘、癫痫、中暑）的现场急救要点</w:t>
            </w:r>
          </w:p>
        </w:tc>
        <w:tc>
          <w:tcPr>
            <w:tcW w:w="58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急性中毒的现场救护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掌握各类急性中毒的现场救护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熟悉中毒的常见原因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了解日常生活中如何避免各类中毒</w:t>
            </w:r>
          </w:p>
        </w:tc>
        <w:tc>
          <w:tcPr>
            <w:tcW w:w="2062" w:type="dxa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1.能够说出急性中毒的救治原则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能够概括急性中毒病人病情评估。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.能够说出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有机磷农药中毒、</w:t>
            </w:r>
            <w:r>
              <w:rPr>
                <w:rFonts w:hint="eastAsia" w:ascii="宋体" w:hAnsi="宋体"/>
                <w:sz w:val="20"/>
                <w:szCs w:val="20"/>
              </w:rPr>
              <w:t>一氧化碳中毒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酒精中毒、药物中毒、食品中毒的</w:t>
            </w:r>
            <w:r>
              <w:rPr>
                <w:rFonts w:hint="eastAsia" w:ascii="宋体" w:hAnsi="宋体"/>
                <w:sz w:val="20"/>
                <w:szCs w:val="20"/>
              </w:rPr>
              <w:t>临床表现和救治原则及护理。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有机磷农药中毒、</w:t>
            </w:r>
            <w:r>
              <w:rPr>
                <w:rFonts w:hint="eastAsia" w:ascii="宋体" w:hAnsi="宋体"/>
                <w:sz w:val="20"/>
                <w:szCs w:val="20"/>
              </w:rPr>
              <w:t>一氧化碳中毒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酒精中毒、药物中毒、食品中毒的现场救护</w:t>
            </w:r>
          </w:p>
        </w:tc>
        <w:tc>
          <w:tcPr>
            <w:tcW w:w="58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灾害事件的现场逃生与救护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掌握水灾、地震、火灾、龙卷风、交通事故的应急救护原则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熟悉灾害事件的避险逃生原则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了解灾害现场的分诊和救护程序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了解灾害事件的现场特点</w:t>
            </w:r>
          </w:p>
        </w:tc>
        <w:tc>
          <w:tcPr>
            <w:tcW w:w="2062" w:type="dxa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1.能够说出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灾害事件</w:t>
            </w:r>
            <w:r>
              <w:rPr>
                <w:rFonts w:hint="eastAsia" w:ascii="宋体" w:hAnsi="宋体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处理原则和救护程序</w:t>
            </w:r>
          </w:p>
          <w:p>
            <w:p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.能够说出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各种常见灾害的现场救护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灾害事件</w:t>
            </w:r>
            <w:r>
              <w:rPr>
                <w:rFonts w:hint="eastAsia" w:ascii="宋体" w:hAnsi="宋体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处理原则和救护程序</w:t>
            </w:r>
          </w:p>
        </w:tc>
        <w:tc>
          <w:tcPr>
            <w:tcW w:w="580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危机事件心理救助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1.掌握心理救助的常见方法</w:t>
            </w:r>
          </w:p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2.熟悉危机事件中心理创伤的种类和心理救助的重要性</w:t>
            </w:r>
          </w:p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3.了解心理救助救护员自我调节的方法</w:t>
            </w:r>
          </w:p>
        </w:tc>
        <w:tc>
          <w:tcPr>
            <w:tcW w:w="2062" w:type="dxa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1.能够说出危机事件的心理创伤</w:t>
            </w:r>
          </w:p>
          <w:p>
            <w:p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2.理解危机事件中心理创伤的种类和心理救助的重要性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危机事件的心理创伤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left="315" w:left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心肺复苏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心肺复苏术CPR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创伤急救技术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止血包扎固定搬运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呼吸道异物急救技术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海姆立克急救法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综合型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实训操作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实训操作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0"/>
                <w:szCs w:val="20"/>
              </w:rPr>
              <w:t>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04570" cy="502285"/>
            <wp:effectExtent l="0" t="0" r="11430" b="5715"/>
            <wp:docPr id="1" name="图片 1" descr="微信图片_20190428115700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28115700_wps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37590" cy="418465"/>
            <wp:effectExtent l="0" t="0" r="10160" b="635"/>
            <wp:docPr id="2" name="图片 2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a522878c9e1cbc4e48b78c7e31d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1" w:name="_GoBack"/>
      <w:r>
        <w:rPr>
          <w:rFonts w:hint="eastAsia"/>
          <w:sz w:val="28"/>
          <w:szCs w:val="28"/>
          <w:lang w:val="en-US" w:eastAsia="zh-CN"/>
        </w:rPr>
        <w:t xml:space="preserve">2022-2-23 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BDFDE"/>
    <w:multiLevelType w:val="singleLevel"/>
    <w:tmpl w:val="C4EBDF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C8E552"/>
    <w:multiLevelType w:val="singleLevel"/>
    <w:tmpl w:val="DEC8E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00C1B6"/>
    <w:multiLevelType w:val="singleLevel"/>
    <w:tmpl w:val="F800C1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538EECC"/>
    <w:multiLevelType w:val="singleLevel"/>
    <w:tmpl w:val="0538EE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A1EF0A5"/>
    <w:multiLevelType w:val="singleLevel"/>
    <w:tmpl w:val="4A1EF0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93DCA73"/>
    <w:multiLevelType w:val="singleLevel"/>
    <w:tmpl w:val="693DC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6A678B9"/>
    <w:rsid w:val="094C3A3C"/>
    <w:rsid w:val="0A8128A6"/>
    <w:rsid w:val="0ABE6E7D"/>
    <w:rsid w:val="0BF32A1B"/>
    <w:rsid w:val="10BD2C22"/>
    <w:rsid w:val="12757954"/>
    <w:rsid w:val="1BD13DC5"/>
    <w:rsid w:val="22987C80"/>
    <w:rsid w:val="24192CCC"/>
    <w:rsid w:val="39A66CD4"/>
    <w:rsid w:val="39FC1313"/>
    <w:rsid w:val="3CD52CE1"/>
    <w:rsid w:val="3D197528"/>
    <w:rsid w:val="3DC90D3F"/>
    <w:rsid w:val="410F2E6A"/>
    <w:rsid w:val="4430136C"/>
    <w:rsid w:val="47C50481"/>
    <w:rsid w:val="4AB0382B"/>
    <w:rsid w:val="51501312"/>
    <w:rsid w:val="55FD785D"/>
    <w:rsid w:val="56033A4B"/>
    <w:rsid w:val="569868B5"/>
    <w:rsid w:val="56D46542"/>
    <w:rsid w:val="60E13F97"/>
    <w:rsid w:val="611F6817"/>
    <w:rsid w:val="66CA1754"/>
    <w:rsid w:val="697640D6"/>
    <w:rsid w:val="6F1E65D4"/>
    <w:rsid w:val="6F266C86"/>
    <w:rsid w:val="6F5042C2"/>
    <w:rsid w:val="70D70CB1"/>
    <w:rsid w:val="724A09B7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文本 (2)"/>
    <w:basedOn w:val="1"/>
    <w:link w:val="10"/>
    <w:unhideWhenUsed/>
    <w:qFormat/>
    <w:uiPriority w:val="99"/>
    <w:pPr>
      <w:shd w:val="clear" w:color="auto" w:fill="FFFFFF"/>
      <w:spacing w:after="60" w:line="446" w:lineRule="exact"/>
      <w:ind w:hanging="660"/>
      <w:jc w:val="left"/>
    </w:pPr>
    <w:rPr>
      <w:rFonts w:ascii="宋体"/>
      <w:kern w:val="0"/>
      <w:szCs w:val="20"/>
    </w:rPr>
  </w:style>
  <w:style w:type="character" w:customStyle="1" w:styleId="10">
    <w:name w:val="正文文本 (2)_"/>
    <w:link w:val="9"/>
    <w:unhideWhenUsed/>
    <w:qFormat/>
    <w:locked/>
    <w:uiPriority w:val="99"/>
    <w:rPr>
      <w:rFonts w:ascii="宋体"/>
      <w:kern w:val="0"/>
      <w:szCs w:val="20"/>
    </w:rPr>
  </w:style>
  <w:style w:type="character" w:customStyle="1" w:styleId="11">
    <w:name w:val="正文文本 (2) + 间距 1 pt1"/>
    <w:unhideWhenUsed/>
    <w:qFormat/>
    <w:uiPriority w:val="99"/>
    <w:rPr>
      <w:rFonts w:ascii="宋体"/>
      <w:spacing w:val="30"/>
      <w:sz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32</TotalTime>
  <ScaleCrop>false</ScaleCrop>
  <LinksUpToDate>false</LinksUpToDate>
  <CharactersWithSpaces>1834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2022-02-23T05:33:23Z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4244F1209C77489491300B98A69311C8</vt:lpwstr>
  </property>
</Properties>
</file>