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88" w:lineRule="auto"/>
        <w:jc w:val="center"/>
        <w:rPr>
          <w:b/>
          <w:sz w:val="28"/>
          <w:szCs w:val="30"/>
        </w:rPr>
      </w:pPr>
      <w:r>
        <w:rPr>
          <w:rFonts w:hint="eastAsia" w:asciiTheme="minorEastAsia" w:hAnsiTheme="minorEastAsia" w:eastAsiaTheme="minorEastAsia"/>
          <w:b/>
          <w:kern w:val="0"/>
          <w:sz w:val="40"/>
          <w:szCs w:val="40"/>
        </w:rPr>
        <w:t>专业课课程</w:t>
      </w:r>
      <w:r>
        <w:rPr>
          <w:rFonts w:hint="eastAsia" w:ascii="方正小标宋简体" w:hAnsi="宋体" w:eastAsia="方正小标宋简体"/>
          <w:b/>
          <w:kern w:val="0"/>
          <w:sz w:val="40"/>
          <w:szCs w:val="40"/>
        </w:rPr>
        <w:t>教学大纲</w:t>
      </w:r>
    </w:p>
    <w:p>
      <w:pPr>
        <w:spacing w:before="156" w:beforeLines="50" w:after="156" w:afterLines="50" w:line="288" w:lineRule="auto"/>
        <w:jc w:val="center"/>
        <w:rPr>
          <w:b/>
          <w:sz w:val="28"/>
          <w:szCs w:val="30"/>
        </w:rPr>
      </w:pPr>
      <w:r>
        <w:rPr>
          <w:rFonts w:hint="eastAsia"/>
          <w:b/>
          <w:sz w:val="28"/>
          <w:szCs w:val="30"/>
        </w:rPr>
        <w:t>【</w:t>
      </w:r>
      <w:r>
        <w:rPr>
          <w:rFonts w:hint="eastAsia"/>
          <w:b/>
          <w:sz w:val="28"/>
          <w:szCs w:val="30"/>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外科护理】</w:t>
      </w:r>
    </w:p>
    <w:p>
      <w:pPr>
        <w:shd w:val="clear" w:color="auto" w:fill="D7D7D7" w:themeFill="background1" w:themeFillShade="D8"/>
        <w:spacing w:before="156" w:beforeLines="50" w:after="156" w:afterLines="50" w:line="288" w:lineRule="auto"/>
        <w:jc w:val="center"/>
        <w:rPr>
          <w:b/>
          <w:sz w:val="28"/>
          <w:szCs w:val="30"/>
        </w:rPr>
      </w:pPr>
      <w:r>
        <w:rPr>
          <w:rFonts w:hint="eastAsia"/>
          <w:b/>
          <w:sz w:val="28"/>
          <w:szCs w:val="30"/>
        </w:rPr>
        <w:t>【Surgical nursing</w:t>
      </w:r>
      <w:bookmarkStart w:id="0" w:name="a2"/>
      <w:bookmarkEnd w:id="0"/>
      <w:r>
        <w:rPr>
          <w:rFonts w:hint="eastAsia"/>
          <w:b/>
          <w:sz w:val="28"/>
          <w:szCs w:val="30"/>
        </w:rPr>
        <w:t xml:space="preserve">】                            </w:t>
      </w:r>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w:t>
      </w:r>
    </w:p>
    <w:p>
      <w:pPr>
        <w:snapToGrid w:val="0"/>
        <w:spacing w:line="288" w:lineRule="auto"/>
        <w:ind w:firstLine="392" w:firstLineChars="196"/>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课程代码：</w:t>
      </w: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0010060</w:t>
      </w:r>
      <w:r>
        <w:rPr>
          <w:rFonts w:hint="eastAsia" w:asciiTheme="minorEastAsia" w:hAnsiTheme="minorEastAsia" w:eastAsiaTheme="minorEastAsia" w:cstheme="minorEastAsia"/>
          <w:b/>
          <w:bCs/>
          <w:color w:val="000000"/>
          <w:sz w:val="20"/>
          <w:szCs w:val="20"/>
        </w:rPr>
        <w:t>】</w:t>
      </w:r>
    </w:p>
    <w:p>
      <w:pPr>
        <w:snapToGrid w:val="0"/>
        <w:spacing w:line="288" w:lineRule="auto"/>
        <w:ind w:firstLine="392" w:firstLineChars="196"/>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课程学分：</w:t>
      </w: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6.0</w:t>
      </w:r>
      <w:r>
        <w:rPr>
          <w:rFonts w:hint="eastAsia" w:asciiTheme="minorEastAsia" w:hAnsiTheme="minorEastAsia" w:eastAsiaTheme="minorEastAsia" w:cstheme="minorEastAsia"/>
          <w:b/>
          <w:bCs/>
          <w:color w:val="000000"/>
          <w:sz w:val="20"/>
          <w:szCs w:val="20"/>
        </w:rPr>
        <w:t>】</w:t>
      </w:r>
    </w:p>
    <w:p>
      <w:pPr>
        <w:snapToGrid w:val="0"/>
        <w:spacing w:line="288" w:lineRule="auto"/>
        <w:ind w:firstLine="392" w:firstLineChars="196"/>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面向专业：【</w:t>
      </w:r>
      <w:r>
        <w:rPr>
          <w:rFonts w:hint="eastAsia" w:asciiTheme="minorEastAsia" w:hAnsiTheme="minorEastAsia" w:eastAsiaTheme="minorEastAsia" w:cstheme="minorEastAsia"/>
          <w:color w:val="000000" w:themeColor="text1"/>
          <w:sz w:val="20"/>
          <w:szCs w:val="20"/>
          <w14:textFill>
            <w14:solidFill>
              <w14:schemeClr w14:val="tx1"/>
            </w14:solidFill>
          </w14:textFill>
        </w:rPr>
        <w:t>护理】</w:t>
      </w:r>
    </w:p>
    <w:p>
      <w:pPr>
        <w:snapToGrid w:val="0"/>
        <w:spacing w:line="288" w:lineRule="auto"/>
        <w:ind w:firstLine="392" w:firstLineChars="196"/>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课程性质：</w:t>
      </w: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系级必修课</w:t>
      </w:r>
      <w:r>
        <w:rPr>
          <w:rFonts w:hint="eastAsia" w:asciiTheme="minorEastAsia" w:hAnsiTheme="minorEastAsia" w:eastAsiaTheme="minorEastAsia" w:cstheme="minorEastAsia"/>
          <w:b/>
          <w:bCs/>
          <w:color w:val="000000"/>
          <w:sz w:val="20"/>
          <w:szCs w:val="20"/>
        </w:rPr>
        <w:t>】</w:t>
      </w:r>
      <w:r>
        <w:rPr>
          <w:rFonts w:hint="eastAsia" w:ascii="宋体" w:hAnsi="宋体"/>
          <w:color w:val="000000"/>
          <w:sz w:val="20"/>
          <w:szCs w:val="20"/>
        </w:rPr>
        <w:t>◎</w:t>
      </w:r>
    </w:p>
    <w:p>
      <w:pPr>
        <w:snapToGrid w:val="0"/>
        <w:spacing w:line="288" w:lineRule="auto"/>
        <w:ind w:firstLine="392" w:firstLineChars="196"/>
        <w:rPr>
          <w:rFonts w:asciiTheme="minorEastAsia" w:hAnsiTheme="minorEastAsia" w:eastAsiaTheme="minorEastAsia" w:cstheme="minorEastAsia"/>
          <w:bCs/>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开课院系：【</w:t>
      </w:r>
      <w:r>
        <w:rPr>
          <w:rFonts w:hint="eastAsia" w:asciiTheme="minorEastAsia" w:hAnsiTheme="minorEastAsia" w:eastAsiaTheme="minorEastAsia" w:cstheme="minorEastAsia"/>
          <w:bCs/>
          <w:color w:val="000000" w:themeColor="text1"/>
          <w:sz w:val="20"/>
          <w:szCs w:val="20"/>
          <w14:textFill>
            <w14:solidFill>
              <w14:schemeClr w14:val="tx1"/>
            </w14:solidFill>
          </w14:textFill>
        </w:rPr>
        <w:t>健康管理学院护理系】</w:t>
      </w:r>
    </w:p>
    <w:p>
      <w:pPr>
        <w:snapToGrid w:val="0"/>
        <w:spacing w:line="288" w:lineRule="auto"/>
        <w:ind w:firstLine="392" w:firstLineChars="196"/>
        <w:rPr>
          <w:rFonts w:asciiTheme="minorEastAsia" w:hAnsiTheme="minorEastAsia" w:eastAsiaTheme="minorEastAsia" w:cstheme="minorEastAsia"/>
          <w:b/>
          <w:bCs/>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使用教材：</w:t>
      </w:r>
    </w:p>
    <w:p>
      <w:pPr>
        <w:snapToGrid w:val="0"/>
        <w:spacing w:line="288" w:lineRule="auto"/>
        <w:ind w:firstLine="793" w:firstLineChars="3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
          <w:bCs/>
          <w:color w:val="000000"/>
          <w:sz w:val="20"/>
          <w:szCs w:val="20"/>
        </w:rPr>
        <w:t>教材：</w:t>
      </w: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bCs/>
          <w:color w:val="000000" w:themeColor="text1"/>
          <w:sz w:val="20"/>
          <w:szCs w:val="20"/>
          <w14:textFill>
            <w14:solidFill>
              <w14:schemeClr w14:val="tx1"/>
            </w14:solidFill>
          </w14:textFill>
        </w:rPr>
        <w:t>外科护理学</w:t>
      </w: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bCs/>
          <w:color w:val="000000" w:themeColor="text1"/>
          <w:sz w:val="20"/>
          <w:szCs w:val="20"/>
          <w14:textFill>
            <w14:solidFill>
              <w14:schemeClr w14:val="tx1"/>
            </w14:solidFill>
          </w14:textFill>
        </w:rPr>
        <w:t xml:space="preserve"> 主编 熊云新、叶国英 人民卫生</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出版社 </w:t>
      </w:r>
      <w:r>
        <w:rPr>
          <w:rFonts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14:textFill>
            <w14:solidFill>
              <w14:schemeClr w14:val="tx1"/>
            </w14:solidFill>
          </w14:textFill>
        </w:rPr>
        <w:t>第四版</w:t>
      </w:r>
      <w:r>
        <w:rPr>
          <w:rFonts w:hint="eastAsia" w:asciiTheme="minorEastAsia" w:hAnsiTheme="minorEastAsia" w:eastAsiaTheme="minorEastAsia" w:cstheme="minorEastAsia"/>
          <w:color w:val="000000"/>
          <w:sz w:val="20"/>
          <w:szCs w:val="20"/>
        </w:rPr>
        <w:t>】</w:t>
      </w:r>
    </w:p>
    <w:p>
      <w:pPr>
        <w:snapToGrid w:val="0"/>
        <w:spacing w:line="288" w:lineRule="auto"/>
        <w:ind w:left="798" w:leftChars="380"/>
        <w:rPr>
          <w:rFonts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参考书目：</w:t>
      </w:r>
    </w:p>
    <w:p>
      <w:pPr>
        <w:snapToGrid w:val="0"/>
        <w:spacing w:line="288" w:lineRule="auto"/>
        <w:ind w:firstLine="792" w:firstLineChars="3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成人护理学</w:t>
      </w: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主编 张振香 人民卫生出版社</w:t>
      </w:r>
      <w:r>
        <w:rPr>
          <w:rFonts w:hint="eastAsia" w:asciiTheme="minorEastAsia" w:hAnsiTheme="minorEastAsia" w:eastAsiaTheme="minorEastAsia" w:cstheme="minorEastAsia"/>
          <w:color w:val="000000"/>
          <w:sz w:val="20"/>
          <w:szCs w:val="20"/>
        </w:rPr>
        <w:t>】</w:t>
      </w:r>
    </w:p>
    <w:p>
      <w:pPr>
        <w:snapToGrid w:val="0"/>
        <w:spacing w:line="288" w:lineRule="auto"/>
        <w:ind w:firstLine="792" w:firstLineChars="3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成人护理学学习与实训指导</w:t>
      </w: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主编 蔡小红 人民卫生出版社</w:t>
      </w:r>
      <w:r>
        <w:rPr>
          <w:rFonts w:hint="eastAsia" w:asciiTheme="minorEastAsia" w:hAnsiTheme="minorEastAsia" w:eastAsiaTheme="minorEastAsia" w:cstheme="minorEastAsia"/>
          <w:color w:val="000000"/>
          <w:sz w:val="20"/>
          <w:szCs w:val="20"/>
        </w:rPr>
        <w:t>】</w:t>
      </w:r>
    </w:p>
    <w:p>
      <w:pPr>
        <w:snapToGrid w:val="0"/>
        <w:spacing w:line="288" w:lineRule="auto"/>
        <w:ind w:firstLine="792" w:firstLineChars="3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外科护理学</w:t>
      </w:r>
      <w:r>
        <w:rPr>
          <w:rFonts w:hint="eastAsia" w:asciiTheme="minorEastAsia" w:hAnsiTheme="minorEastAsia" w:eastAsiaTheme="minorEastAsia" w:cstheme="minorEastAsia"/>
          <w:color w:val="000000"/>
          <w:sz w:val="20"/>
          <w:szCs w:val="20"/>
        </w:rPr>
        <w:t xml:space="preserve">》 </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主编 李乐之 人民卫生出版社 </w:t>
      </w:r>
      <w:r>
        <w:rPr>
          <w:rFonts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14:textFill>
            <w14:solidFill>
              <w14:schemeClr w14:val="tx1"/>
            </w14:solidFill>
          </w14:textFill>
        </w:rPr>
        <w:t>第六版</w:t>
      </w:r>
      <w:r>
        <w:rPr>
          <w:rFonts w:hint="eastAsia" w:asciiTheme="minorEastAsia" w:hAnsiTheme="minorEastAsia" w:eastAsiaTheme="minorEastAsia" w:cstheme="minorEastAsia"/>
          <w:color w:val="000000"/>
          <w:sz w:val="20"/>
          <w:szCs w:val="20"/>
        </w:rPr>
        <w:t>】</w:t>
      </w:r>
    </w:p>
    <w:p>
      <w:pPr>
        <w:snapToGrid w:val="0"/>
        <w:spacing w:line="288" w:lineRule="auto"/>
        <w:ind w:firstLine="792" w:firstLineChars="396"/>
        <w:rPr>
          <w:rFonts w:asciiTheme="minorEastAsia" w:hAnsiTheme="minorEastAsia" w:eastAsiaTheme="minorEastAsia" w:cstheme="minorEastAsia"/>
          <w:color w:val="000000"/>
          <w:sz w:val="20"/>
          <w:szCs w:val="20"/>
        </w:rPr>
      </w:pPr>
    </w:p>
    <w:p>
      <w:pPr>
        <w:snapToGrid w:val="0"/>
        <w:spacing w:line="288" w:lineRule="auto"/>
        <w:ind w:firstLine="400" w:firstLineChars="200"/>
        <w:rPr>
          <w:rFonts w:asciiTheme="minorEastAsia" w:hAnsiTheme="minorEastAsia" w:eastAsiaTheme="minorEastAsia" w:cstheme="minorEastAsia"/>
          <w:color w:val="000000" w:themeColor="text1"/>
          <w:sz w:val="20"/>
          <w:szCs w:val="20"/>
          <w:highlight w:val="cya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课程网站网址：【</w:t>
      </w:r>
      <w:r>
        <w:rPr>
          <w:rFonts w:hint="eastAsia" w:asciiTheme="minorEastAsia" w:hAnsiTheme="minorEastAsia" w:eastAsiaTheme="minorEastAsia" w:cstheme="minorEastAsia"/>
          <w:bCs/>
          <w:color w:val="000000" w:themeColor="text1"/>
          <w:sz w:val="20"/>
          <w:szCs w:val="20"/>
          <w14:textFill>
            <w14:solidFill>
              <w14:schemeClr w14:val="tx1"/>
            </w14:solidFill>
          </w14:textFill>
        </w:rPr>
        <w:t>暂无】</w:t>
      </w:r>
    </w:p>
    <w:p>
      <w:pPr>
        <w:adjustRightInd w:val="0"/>
        <w:snapToGrid w:val="0"/>
        <w:spacing w:line="288" w:lineRule="auto"/>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先修课程：</w:t>
      </w:r>
      <w:r>
        <w:rPr>
          <w:rFonts w:hint="eastAsia" w:asciiTheme="minorEastAsia" w:hAnsiTheme="minorEastAsia" w:eastAsiaTheme="minorEastAsia" w:cstheme="minorEastAsia"/>
          <w:color w:val="000000"/>
          <w:sz w:val="20"/>
          <w:szCs w:val="20"/>
        </w:rPr>
        <w:t>【《正常人体学基础1》，0070038；《正常人体学基础2》，0070039</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color w:val="000000"/>
          <w:sz w:val="20"/>
          <w:szCs w:val="20"/>
        </w:rPr>
        <w:t>护用药理学</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color w:val="000000"/>
          <w:sz w:val="20"/>
          <w:szCs w:val="20"/>
        </w:rPr>
        <w:t>，</w:t>
      </w:r>
      <w:r>
        <w:rPr>
          <w:rFonts w:asciiTheme="minorEastAsia" w:hAnsiTheme="minorEastAsia" w:eastAsiaTheme="minorEastAsia" w:cstheme="minorEastAsia"/>
          <w:color w:val="000000"/>
          <w:sz w:val="20"/>
          <w:szCs w:val="20"/>
        </w:rPr>
        <w:t>0010043</w:t>
      </w:r>
      <w:r>
        <w:rPr>
          <w:rFonts w:hint="eastAsia"/>
          <w:color w:val="000000"/>
          <w:sz w:val="20"/>
          <w:szCs w:val="20"/>
        </w:rPr>
        <w:t>；《健康评估》，</w:t>
      </w:r>
      <w:r>
        <w:rPr>
          <w:rFonts w:hint="eastAsia" w:asciiTheme="minorEastAsia" w:hAnsiTheme="minorEastAsia" w:eastAsiaTheme="minorEastAsia" w:cstheme="minorEastAsia"/>
          <w:color w:val="000000"/>
          <w:sz w:val="20"/>
          <w:szCs w:val="20"/>
        </w:rPr>
        <w:t>0</w:t>
      </w:r>
      <w:r>
        <w:rPr>
          <w:rFonts w:asciiTheme="minorEastAsia" w:hAnsiTheme="minorEastAsia" w:eastAsiaTheme="minorEastAsia" w:cstheme="minorEastAsia"/>
          <w:color w:val="000000"/>
          <w:sz w:val="20"/>
          <w:szCs w:val="20"/>
        </w:rPr>
        <w:t>070013</w:t>
      </w:r>
      <w:r>
        <w:rPr>
          <w:rFonts w:hint="eastAsia"/>
          <w:color w:val="000000"/>
          <w:sz w:val="20"/>
          <w:szCs w:val="20"/>
        </w:rPr>
        <w:t>；《病理学与病理生理学》，</w:t>
      </w:r>
      <w:r>
        <w:rPr>
          <w:rFonts w:hint="eastAsia" w:asciiTheme="minorEastAsia" w:hAnsiTheme="minorEastAsia" w:eastAsiaTheme="minorEastAsia" w:cstheme="minorEastAsia"/>
          <w:color w:val="000000"/>
          <w:sz w:val="20"/>
          <w:szCs w:val="20"/>
        </w:rPr>
        <w:t>0</w:t>
      </w:r>
      <w:r>
        <w:rPr>
          <w:rFonts w:asciiTheme="minorEastAsia" w:hAnsiTheme="minorEastAsia" w:eastAsiaTheme="minorEastAsia" w:cstheme="minorEastAsia"/>
          <w:color w:val="000000"/>
          <w:sz w:val="20"/>
          <w:szCs w:val="20"/>
        </w:rPr>
        <w:t>010041</w:t>
      </w:r>
      <w:r>
        <w:rPr>
          <w:rFonts w:hint="eastAsia"/>
          <w:color w:val="000000"/>
          <w:sz w:val="20"/>
          <w:szCs w:val="20"/>
        </w:rPr>
        <w:t>等】</w:t>
      </w:r>
    </w:p>
    <w:p>
      <w:pPr>
        <w:adjustRightInd w:val="0"/>
        <w:snapToGrid w:val="0"/>
        <w:spacing w:before="156" w:beforeLines="50" w:after="156" w:afterLines="50" w:line="288" w:lineRule="auto"/>
        <w:ind w:firstLine="480" w:firstLineChars="200"/>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外科护理》从现代护理观出发，介绍对外科病人进行整体专业护理，是高职高专护理专业的核心课程。本课程内容包括外科护理学总论、普通外科护理和颅脑、胸外、泌尿、骨关节等疾病护理，以及常用的外科护理操作技术（包括手术室护理技术）。本教材以整体护理为方向，护理程序为框架，按病因及发病机制、病理生理、护理评估（其中包括健康史、身体状况、辅助检查、心理-社会状况、处理原则）、常见护理诊断/问题、护理目标、护理措施（术前护理、术后护理、健康指导）、护理评价。通过课堂教学、技能实训和临床实习，学生能初步运用外科护理学的相关知识，以护理程序的方法，对外科病人进行整体护理。较熟练地进行外科护理操作，并形成良好的学习能力和工作态度。本课程总学时为96学时。其中理论课时68学时，实验课时28学时。</w:t>
      </w: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w:t>
      </w:r>
    </w:p>
    <w:p>
      <w:pPr>
        <w:adjustRightInd w:val="0"/>
        <w:snapToGrid w:val="0"/>
        <w:spacing w:before="156" w:beforeLines="50" w:after="156" w:afterLines="50" w:line="288" w:lineRule="auto"/>
        <w:ind w:firstLine="400" w:firstLineChars="200"/>
        <w:rPr>
          <w:color w:val="000000"/>
          <w:sz w:val="20"/>
          <w:szCs w:val="20"/>
        </w:rPr>
      </w:pPr>
      <w:r>
        <w:rPr>
          <w:rFonts w:hint="eastAsia"/>
          <w:color w:val="000000"/>
          <w:sz w:val="20"/>
          <w:szCs w:val="20"/>
        </w:rPr>
        <w:t>适合护理专业二年级学生，需要在学习医学基础各课程（如解剖、生理学、病理学、免疫学、</w:t>
      </w:r>
      <w:bookmarkStart w:id="1" w:name="_Hlk76563709"/>
      <w:bookmarkStart w:id="2" w:name="_Hlk76985090"/>
      <w:r>
        <w:rPr>
          <w:rFonts w:hint="eastAsia"/>
          <w:color w:val="000000"/>
          <w:sz w:val="20"/>
          <w:szCs w:val="20"/>
        </w:rPr>
        <w:t>护用药理学</w:t>
      </w:r>
      <w:bookmarkEnd w:id="1"/>
      <w:r>
        <w:rPr>
          <w:rFonts w:hint="eastAsia"/>
          <w:color w:val="000000"/>
          <w:sz w:val="20"/>
          <w:szCs w:val="20"/>
        </w:rPr>
        <w:t>、健康评估等</w:t>
      </w:r>
      <w:bookmarkEnd w:id="2"/>
      <w:r>
        <w:rPr>
          <w:rFonts w:hint="eastAsia"/>
          <w:color w:val="000000"/>
          <w:sz w:val="20"/>
          <w:szCs w:val="20"/>
        </w:rPr>
        <w:t>）的基础上才能学习。</w:t>
      </w:r>
    </w:p>
    <w:p>
      <w:pPr>
        <w:adjustRightInd w:val="0"/>
        <w:snapToGrid w:val="0"/>
        <w:spacing w:before="156" w:beforeLines="50" w:after="156" w:afterLines="50" w:line="288" w:lineRule="auto"/>
        <w:ind w:firstLine="420" w:firstLineChars="200"/>
        <w:rPr>
          <w:rFonts w:ascii="宋体" w:hAnsi="宋体"/>
          <w:color w:val="000000" w:themeColor="text1"/>
          <w:szCs w:val="21"/>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w:t>
      </w:r>
    </w:p>
    <w:tbl>
      <w:tblPr>
        <w:tblStyle w:val="9"/>
        <w:tblpPr w:leftFromText="180" w:rightFromText="180" w:vertAnchor="text" w:horzAnchor="page" w:tblpXSpec="center" w:tblpY="242"/>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9"/>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9" w:type="dxa"/>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专业毕业要求</w:t>
            </w:r>
          </w:p>
        </w:tc>
        <w:tc>
          <w:tcPr>
            <w:tcW w:w="823" w:type="dxa"/>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9" w:type="dxa"/>
            <w:vAlign w:val="center"/>
          </w:tcPr>
          <w:p>
            <w:pPr>
              <w:widowControl/>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LO32：护理评估能力：能全面评估护理服务对象的身、心、社会及精神方面的健康状态。</w:t>
            </w:r>
          </w:p>
        </w:tc>
        <w:tc>
          <w:tcPr>
            <w:tcW w:w="823" w:type="dxa"/>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9" w:type="dxa"/>
            <w:vAlign w:val="center"/>
          </w:tcPr>
          <w:p>
            <w:pPr>
              <w:widowControl/>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LO33：专业实践能力：能制定和执行护理计划，对内、外、妇、儿等常见病与多发病病人实施整体护理，对常见急危重症能及时发现、初步处理和配合抢救。</w:t>
            </w:r>
          </w:p>
        </w:tc>
        <w:tc>
          <w:tcPr>
            <w:tcW w:w="823" w:type="dxa"/>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9" w:type="dxa"/>
            <w:vAlign w:val="center"/>
          </w:tcPr>
          <w:p>
            <w:pPr>
              <w:widowControl/>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LO35：健康教育能力：能确定病人、家属的健康需求，并采用合适的健康教育策略。</w:t>
            </w:r>
          </w:p>
        </w:tc>
        <w:tc>
          <w:tcPr>
            <w:tcW w:w="823" w:type="dxa"/>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9"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LO71：服务关爱</w:t>
            </w:r>
          </w:p>
        </w:tc>
        <w:tc>
          <w:tcPr>
            <w:tcW w:w="823" w:type="dxa"/>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宋体"/>
                <w:color w:val="000000"/>
                <w:kern w:val="0"/>
                <w:szCs w:val="21"/>
              </w:rPr>
              <w:t>●</w:t>
            </w:r>
          </w:p>
        </w:tc>
      </w:tr>
    </w:tbl>
    <w:p>
      <w:pPr>
        <w:ind w:firstLine="480" w:firstLineChars="200"/>
        <w:rPr>
          <w:sz w:val="24"/>
          <w:szCs w:val="24"/>
        </w:rPr>
      </w:pPr>
      <w:r>
        <w:rPr>
          <w:rFonts w:hint="eastAsia"/>
          <w:sz w:val="24"/>
          <w:szCs w:val="24"/>
        </w:rPr>
        <w:t>备注：</w:t>
      </w:r>
      <w:r>
        <w:rPr>
          <w:sz w:val="24"/>
          <w:szCs w:val="24"/>
        </w:rPr>
        <w:t>LO=learning outcomes</w:t>
      </w:r>
      <w:r>
        <w:rPr>
          <w:rFonts w:hint="eastAsia"/>
          <w:sz w:val="24"/>
          <w:szCs w:val="24"/>
        </w:rPr>
        <w:t>（学习成果）</w:t>
      </w: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p>
    <w:tbl>
      <w:tblPr>
        <w:tblStyle w:val="8"/>
        <w:tblpPr w:leftFromText="180" w:rightFromText="180" w:vertAnchor="text" w:horzAnchor="page" w:tblpXSpec="center" w:tblpY="152"/>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8"/>
        <w:gridCol w:w="2951"/>
        <w:gridCol w:w="189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6" w:type="dxa"/>
            <w:shd w:val="clear" w:color="auto" w:fill="auto"/>
          </w:tcPr>
          <w:p>
            <w:pPr>
              <w:snapToGrid w:val="0"/>
              <w:spacing w:line="288"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1308" w:type="dxa"/>
            <w:shd w:val="clear" w:color="auto" w:fill="auto"/>
          </w:tcPr>
          <w:p>
            <w:pPr>
              <w:snapToGrid w:val="0"/>
              <w:spacing w:line="288"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课程预期</w:t>
            </w:r>
          </w:p>
          <w:p>
            <w:pPr>
              <w:snapToGrid w:val="0"/>
              <w:spacing w:line="288"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学习成果</w:t>
            </w:r>
          </w:p>
        </w:tc>
        <w:tc>
          <w:tcPr>
            <w:tcW w:w="2951" w:type="dxa"/>
            <w:shd w:val="clear" w:color="auto" w:fill="auto"/>
            <w:vAlign w:val="center"/>
          </w:tcPr>
          <w:p>
            <w:pPr>
              <w:snapToGrid w:val="0"/>
              <w:spacing w:line="288"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课程目标</w:t>
            </w:r>
          </w:p>
        </w:tc>
        <w:tc>
          <w:tcPr>
            <w:tcW w:w="1894" w:type="dxa"/>
            <w:shd w:val="clear" w:color="auto" w:fill="auto"/>
            <w:vAlign w:val="center"/>
          </w:tcPr>
          <w:p>
            <w:pPr>
              <w:snapToGrid w:val="0"/>
              <w:spacing w:line="288"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教与学方式</w:t>
            </w:r>
          </w:p>
        </w:tc>
        <w:tc>
          <w:tcPr>
            <w:tcW w:w="1773" w:type="dxa"/>
            <w:shd w:val="clear" w:color="auto" w:fill="auto"/>
            <w:vAlign w:val="center"/>
          </w:tcPr>
          <w:p>
            <w:pPr>
              <w:snapToGrid w:val="0"/>
              <w:spacing w:line="288"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6" w:type="dxa"/>
            <w:vMerge w:val="restart"/>
            <w:shd w:val="clear" w:color="auto" w:fill="auto"/>
          </w:tcPr>
          <w:p>
            <w:pP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p>
        </w:tc>
        <w:tc>
          <w:tcPr>
            <w:tcW w:w="1308" w:type="dxa"/>
            <w:vMerge w:val="restart"/>
            <w:shd w:val="clear" w:color="auto" w:fill="auto"/>
          </w:tcPr>
          <w:p>
            <w:pP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LO32</w:t>
            </w:r>
          </w:p>
        </w:tc>
        <w:tc>
          <w:tcPr>
            <w:tcW w:w="2951" w:type="dxa"/>
            <w:shd w:val="clear" w:color="auto" w:fill="auto"/>
          </w:tcPr>
          <w:p>
            <w:pPr>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能全面评估护理服务对象的身、心、社会及精神方面的健康状态，并找出其存在的相关问题。</w:t>
            </w:r>
          </w:p>
        </w:tc>
        <w:tc>
          <w:tcPr>
            <w:tcW w:w="1894" w:type="dxa"/>
            <w:vMerge w:val="restart"/>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直接教学法</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讨论教学法</w:t>
            </w:r>
          </w:p>
          <w:p>
            <w:pPr>
              <w:snapToGrid w:val="0"/>
              <w:spacing w:line="288" w:lineRule="auto"/>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个案教学法</w:t>
            </w:r>
          </w:p>
        </w:tc>
        <w:tc>
          <w:tcPr>
            <w:tcW w:w="1773" w:type="dxa"/>
            <w:vMerge w:val="restart"/>
            <w:shd w:val="clear" w:color="auto" w:fill="auto"/>
          </w:tcPr>
          <w:p>
            <w:pPr>
              <w:snapToGrid w:val="0"/>
              <w:spacing w:line="288" w:lineRule="auto"/>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6" w:type="dxa"/>
            <w:vMerge w:val="continue"/>
            <w:shd w:val="clear" w:color="auto" w:fill="auto"/>
          </w:tcPr>
          <w:p>
            <w:pPr>
              <w:rPr>
                <w:rFonts w:asciiTheme="minorEastAsia" w:hAnsiTheme="minorEastAsia" w:eastAsiaTheme="minorEastAsia" w:cstheme="minorEastAsia"/>
                <w:color w:val="FF0000"/>
                <w:kern w:val="0"/>
                <w:szCs w:val="21"/>
              </w:rPr>
            </w:pPr>
          </w:p>
        </w:tc>
        <w:tc>
          <w:tcPr>
            <w:tcW w:w="1308" w:type="dxa"/>
            <w:vMerge w:val="continue"/>
            <w:shd w:val="clear" w:color="auto" w:fill="auto"/>
          </w:tcPr>
          <w:p>
            <w:pP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951" w:type="dxa"/>
            <w:shd w:val="clear" w:color="auto" w:fill="auto"/>
          </w:tcPr>
          <w:p>
            <w:pPr>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2.应用外科常见病患者的病情观察、疾病初步判断及观察治疗反应的能力。</w:t>
            </w:r>
          </w:p>
        </w:tc>
        <w:tc>
          <w:tcPr>
            <w:tcW w:w="1894" w:type="dxa"/>
            <w:vMerge w:val="continue"/>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773" w:type="dxa"/>
            <w:vMerge w:val="continue"/>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6" w:hRule="atLeast"/>
          <w:jc w:val="center"/>
        </w:trPr>
        <w:tc>
          <w:tcPr>
            <w:tcW w:w="596" w:type="dxa"/>
            <w:vMerge w:val="restart"/>
            <w:shd w:val="clear" w:color="auto" w:fill="auto"/>
          </w:tcPr>
          <w:p>
            <w:pP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w:t>
            </w:r>
          </w:p>
        </w:tc>
        <w:tc>
          <w:tcPr>
            <w:tcW w:w="1308" w:type="dxa"/>
            <w:vMerge w:val="restart"/>
            <w:shd w:val="clear" w:color="auto" w:fill="auto"/>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LO33</w:t>
            </w:r>
          </w:p>
        </w:tc>
        <w:tc>
          <w:tcPr>
            <w:tcW w:w="2951" w:type="dxa"/>
            <w:shd w:val="clear" w:color="auto" w:fill="auto"/>
          </w:tcPr>
          <w:p>
            <w:pPr>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能制定和执行护理计划，运用所学知识和技术对外科常见疾病患者实施整体护理。</w:t>
            </w:r>
          </w:p>
        </w:tc>
        <w:tc>
          <w:tcPr>
            <w:tcW w:w="1894" w:type="dxa"/>
            <w:vMerge w:val="restart"/>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直接教学法</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讨论教学法</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个案教学法</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合作学习教学法</w:t>
            </w:r>
          </w:p>
        </w:tc>
        <w:tc>
          <w:tcPr>
            <w:tcW w:w="1773" w:type="dxa"/>
            <w:vMerge w:val="restart"/>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纸笔测验评价</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实作评价</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口头评价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6" w:type="dxa"/>
            <w:vMerge w:val="continue"/>
            <w:shd w:val="clear" w:color="auto" w:fill="auto"/>
          </w:tcPr>
          <w:p>
            <w:pP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1308" w:type="dxa"/>
            <w:vMerge w:val="continue"/>
            <w:shd w:val="clear" w:color="auto" w:fill="auto"/>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2951" w:type="dxa"/>
            <w:shd w:val="clear" w:color="auto" w:fill="auto"/>
          </w:tcPr>
          <w:p>
            <w:pPr>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2.解决对外科常见病患者的病情监护和初步分析的能力，对外科常见急危重症患者进行初步应急处理和抢救配合的能力。</w:t>
            </w:r>
          </w:p>
        </w:tc>
        <w:tc>
          <w:tcPr>
            <w:tcW w:w="1894" w:type="dxa"/>
            <w:vMerge w:val="continue"/>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773" w:type="dxa"/>
            <w:vMerge w:val="continue"/>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596" w:type="dxa"/>
            <w:vMerge w:val="continue"/>
            <w:shd w:val="clear" w:color="auto" w:fill="auto"/>
          </w:tcPr>
          <w:p>
            <w:pP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1308" w:type="dxa"/>
            <w:vMerge w:val="continue"/>
            <w:shd w:val="clear" w:color="auto" w:fill="auto"/>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2951" w:type="dxa"/>
            <w:shd w:val="clear" w:color="auto" w:fill="auto"/>
          </w:tcPr>
          <w:p>
            <w:pPr>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3.实践实施外科常用诊疗护理操作技术的能力。</w:t>
            </w:r>
          </w:p>
        </w:tc>
        <w:tc>
          <w:tcPr>
            <w:tcW w:w="1894" w:type="dxa"/>
            <w:vMerge w:val="continue"/>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773" w:type="dxa"/>
            <w:vMerge w:val="continue"/>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jc w:val="center"/>
        </w:trPr>
        <w:tc>
          <w:tcPr>
            <w:tcW w:w="596" w:type="dxa"/>
            <w:shd w:val="clear" w:color="auto" w:fill="auto"/>
          </w:tcPr>
          <w:p>
            <w:pP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w:t>
            </w:r>
          </w:p>
        </w:tc>
        <w:tc>
          <w:tcPr>
            <w:tcW w:w="1308" w:type="dxa"/>
            <w:shd w:val="clear" w:color="auto" w:fill="auto"/>
          </w:tcPr>
          <w:p>
            <w:pP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LO35</w:t>
            </w:r>
          </w:p>
        </w:tc>
        <w:tc>
          <w:tcPr>
            <w:tcW w:w="2951" w:type="dxa"/>
            <w:shd w:val="clear" w:color="auto" w:fill="auto"/>
          </w:tcPr>
          <w:p>
            <w:pPr>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解决外科疾病患者进行正确的健康教育和专业指导。</w:t>
            </w:r>
          </w:p>
        </w:tc>
        <w:tc>
          <w:tcPr>
            <w:tcW w:w="1894" w:type="dxa"/>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直接教学法</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讨论教学法</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个案教学法</w:t>
            </w:r>
          </w:p>
        </w:tc>
        <w:tc>
          <w:tcPr>
            <w:tcW w:w="1773" w:type="dxa"/>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纸笔测验评价</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jc w:val="center"/>
        </w:trPr>
        <w:tc>
          <w:tcPr>
            <w:tcW w:w="596" w:type="dxa"/>
            <w:shd w:val="clear" w:color="auto" w:fill="auto"/>
          </w:tcPr>
          <w:p>
            <w:pP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w:t>
            </w:r>
          </w:p>
        </w:tc>
        <w:tc>
          <w:tcPr>
            <w:tcW w:w="1308" w:type="dxa"/>
            <w:shd w:val="clear" w:color="auto" w:fill="auto"/>
          </w:tcPr>
          <w:p>
            <w:pP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LO712</w:t>
            </w:r>
          </w:p>
        </w:tc>
        <w:tc>
          <w:tcPr>
            <w:tcW w:w="2951" w:type="dxa"/>
            <w:shd w:val="clear" w:color="auto" w:fill="auto"/>
          </w:tcPr>
          <w:p>
            <w:pPr>
              <w:snapToGrid w:val="0"/>
              <w:spacing w:line="288" w:lineRule="auto"/>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树立全心全意为患者服务的思想，以高度责任心和爱心关心、爱护、尊重患者。</w:t>
            </w:r>
          </w:p>
        </w:tc>
        <w:tc>
          <w:tcPr>
            <w:tcW w:w="1894" w:type="dxa"/>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问题本位教学法合作学习教学法</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773" w:type="dxa"/>
            <w:shd w:val="clear" w:color="auto" w:fill="auto"/>
          </w:tcPr>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观察评价</w:t>
            </w:r>
          </w:p>
          <w:p>
            <w:pPr>
              <w:snapToGrid w:val="0"/>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实作评价</w:t>
            </w:r>
          </w:p>
          <w:p>
            <w:pPr>
              <w:snapToGrid w:val="0"/>
              <w:spacing w:line="288" w:lineRule="auto"/>
              <w:jc w:val="center"/>
              <w:rPr>
                <w:rFonts w:asciiTheme="minorEastAsia" w:hAnsiTheme="minorEastAsia" w:eastAsiaTheme="minorEastAsia" w:cstheme="minorEastAsia"/>
                <w:color w:val="FF0000"/>
                <w:szCs w:val="21"/>
              </w:rPr>
            </w:pPr>
          </w:p>
        </w:tc>
      </w:tr>
    </w:tbl>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六、课程内容</w:t>
      </w:r>
    </w:p>
    <w:tbl>
      <w:tblPr>
        <w:tblStyle w:val="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2410"/>
        <w:gridCol w:w="1984"/>
        <w:gridCol w:w="1418"/>
        <w:gridCol w:w="1276"/>
        <w:gridCol w:w="567"/>
        <w:gridCol w:w="425"/>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b/>
                <w:color w:val="000000" w:themeColor="text1"/>
                <w:kern w:val="0"/>
                <w:sz w:val="20"/>
                <w:szCs w:val="20"/>
                <w14:textFill>
                  <w14:solidFill>
                    <w14:schemeClr w14:val="tx1"/>
                  </w14:solidFill>
                </w14:textFill>
              </w:rPr>
            </w:pPr>
            <w:r>
              <w:rPr>
                <w:rFonts w:hint="eastAsia" w:ascii="宋体" w:hAnsi="宋体" w:cs="宋体"/>
                <w:b/>
                <w:bCs/>
                <w:szCs w:val="21"/>
              </w:rPr>
              <w:t>序号</w:t>
            </w:r>
          </w:p>
        </w:tc>
        <w:tc>
          <w:tcPr>
            <w:tcW w:w="850" w:type="dxa"/>
            <w:vAlign w:val="center"/>
          </w:tcPr>
          <w:p>
            <w:pPr>
              <w:snapToGrid w:val="0"/>
              <w:spacing w:line="288" w:lineRule="auto"/>
              <w:jc w:val="center"/>
              <w:rPr>
                <w:rFonts w:ascii="宋体" w:hAnsi="宋体"/>
                <w:b/>
                <w:color w:val="000000" w:themeColor="text1"/>
                <w:kern w:val="0"/>
                <w:sz w:val="20"/>
                <w:szCs w:val="20"/>
                <w14:textFill>
                  <w14:solidFill>
                    <w14:schemeClr w14:val="tx1"/>
                  </w14:solidFill>
                </w14:textFill>
              </w:rPr>
            </w:pPr>
            <w:r>
              <w:rPr>
                <w:rFonts w:hint="eastAsia" w:ascii="宋体" w:hAnsi="宋体" w:cs="宋体"/>
                <w:b/>
                <w:bCs/>
                <w:szCs w:val="21"/>
              </w:rPr>
              <w:t>单元名称</w:t>
            </w:r>
          </w:p>
        </w:tc>
        <w:tc>
          <w:tcPr>
            <w:tcW w:w="2410" w:type="dxa"/>
            <w:vAlign w:val="center"/>
          </w:tcPr>
          <w:p>
            <w:pPr>
              <w:snapToGrid w:val="0"/>
              <w:spacing w:line="288" w:lineRule="auto"/>
              <w:jc w:val="center"/>
              <w:rPr>
                <w:rFonts w:ascii="宋体" w:hAnsi="宋体"/>
                <w:b/>
                <w:color w:val="000000" w:themeColor="text1"/>
                <w:kern w:val="0"/>
                <w:sz w:val="20"/>
                <w:szCs w:val="20"/>
                <w14:textFill>
                  <w14:solidFill>
                    <w14:schemeClr w14:val="tx1"/>
                  </w14:solidFill>
                </w14:textFill>
              </w:rPr>
            </w:pPr>
            <w:r>
              <w:rPr>
                <w:rFonts w:hint="eastAsia" w:ascii="宋体" w:hAnsi="宋体" w:cs="宋体"/>
                <w:b/>
                <w:bCs/>
                <w:szCs w:val="21"/>
              </w:rPr>
              <w:t>知识点</w:t>
            </w:r>
          </w:p>
        </w:tc>
        <w:tc>
          <w:tcPr>
            <w:tcW w:w="1984" w:type="dxa"/>
            <w:vAlign w:val="center"/>
          </w:tcPr>
          <w:p>
            <w:pPr>
              <w:snapToGrid w:val="0"/>
              <w:spacing w:line="288" w:lineRule="auto"/>
              <w:jc w:val="center"/>
              <w:rPr>
                <w:rFonts w:ascii="宋体" w:hAnsi="宋体"/>
                <w:b/>
                <w:color w:val="000000" w:themeColor="text1"/>
                <w:kern w:val="0"/>
                <w:sz w:val="20"/>
                <w:szCs w:val="20"/>
                <w14:textFill>
                  <w14:solidFill>
                    <w14:schemeClr w14:val="tx1"/>
                  </w14:solidFill>
                </w14:textFill>
              </w:rPr>
            </w:pPr>
            <w:r>
              <w:rPr>
                <w:rFonts w:hint="eastAsia" w:ascii="宋体" w:hAnsi="宋体" w:cs="宋体"/>
                <w:b/>
                <w:bCs/>
                <w:szCs w:val="21"/>
              </w:rPr>
              <w:t>能力目标</w:t>
            </w:r>
          </w:p>
        </w:tc>
        <w:tc>
          <w:tcPr>
            <w:tcW w:w="1418"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情感目标</w:t>
            </w:r>
          </w:p>
        </w:tc>
        <w:tc>
          <w:tcPr>
            <w:tcW w:w="1276" w:type="dxa"/>
            <w:vAlign w:val="center"/>
          </w:tcPr>
          <w:p>
            <w:pPr>
              <w:snapToGrid w:val="0"/>
              <w:spacing w:line="288" w:lineRule="auto"/>
              <w:jc w:val="center"/>
              <w:rPr>
                <w:rFonts w:ascii="宋体" w:hAnsi="宋体"/>
                <w:b/>
                <w:color w:val="000000" w:themeColor="text1"/>
                <w:kern w:val="0"/>
                <w:sz w:val="20"/>
                <w:szCs w:val="20"/>
                <w14:textFill>
                  <w14:solidFill>
                    <w14:schemeClr w14:val="tx1"/>
                  </w14:solidFill>
                </w14:textFill>
              </w:rPr>
            </w:pPr>
            <w:r>
              <w:rPr>
                <w:rFonts w:hint="eastAsia" w:ascii="宋体" w:hAnsi="宋体" w:cs="宋体"/>
                <w:b/>
                <w:bCs/>
                <w:szCs w:val="21"/>
              </w:rPr>
              <w:t>重点难点</w:t>
            </w:r>
          </w:p>
        </w:tc>
        <w:tc>
          <w:tcPr>
            <w:tcW w:w="567" w:type="dxa"/>
            <w:vAlign w:val="center"/>
          </w:tcPr>
          <w:p>
            <w:pPr>
              <w:snapToGrid w:val="0"/>
              <w:spacing w:line="288" w:lineRule="auto"/>
              <w:jc w:val="center"/>
              <w:rPr>
                <w:rFonts w:ascii="宋体" w:hAnsi="宋体"/>
                <w:b/>
                <w:color w:val="000000" w:themeColor="text1"/>
                <w:kern w:val="0"/>
                <w:sz w:val="20"/>
                <w:szCs w:val="20"/>
                <w14:textFill>
                  <w14:solidFill>
                    <w14:schemeClr w14:val="tx1"/>
                  </w14:solidFill>
                </w14:textFill>
              </w:rPr>
            </w:pPr>
            <w:r>
              <w:rPr>
                <w:rFonts w:hint="eastAsia" w:ascii="宋体" w:hAnsi="宋体" w:cs="宋体"/>
                <w:b/>
                <w:bCs/>
                <w:szCs w:val="21"/>
              </w:rPr>
              <w:t>理论课时</w:t>
            </w:r>
          </w:p>
        </w:tc>
        <w:tc>
          <w:tcPr>
            <w:tcW w:w="425" w:type="dxa"/>
            <w:vAlign w:val="center"/>
          </w:tcPr>
          <w:p>
            <w:pPr>
              <w:snapToGrid w:val="0"/>
              <w:spacing w:line="288" w:lineRule="auto"/>
              <w:jc w:val="center"/>
              <w:rPr>
                <w:rFonts w:ascii="宋体" w:hAnsi="宋体"/>
                <w:b/>
                <w:color w:val="000000" w:themeColor="text1"/>
                <w:kern w:val="0"/>
                <w:sz w:val="20"/>
                <w:szCs w:val="20"/>
                <w14:textFill>
                  <w14:solidFill>
                    <w14:schemeClr w14:val="tx1"/>
                  </w14:solidFill>
                </w14:textFill>
              </w:rPr>
            </w:pPr>
            <w:r>
              <w:rPr>
                <w:rFonts w:hint="eastAsia" w:ascii="宋体" w:hAnsi="宋体" w:cs="宋体"/>
                <w:b/>
                <w:bCs/>
                <w:szCs w:val="21"/>
              </w:rPr>
              <w:t>实践课时</w:t>
            </w:r>
          </w:p>
        </w:tc>
        <w:tc>
          <w:tcPr>
            <w:tcW w:w="488" w:type="dxa"/>
            <w:vAlign w:val="center"/>
          </w:tcPr>
          <w:p>
            <w:pPr>
              <w:snapToGrid w:val="0"/>
              <w:spacing w:line="288" w:lineRule="auto"/>
              <w:jc w:val="center"/>
              <w:rPr>
                <w:rFonts w:ascii="宋体" w:hAnsi="宋体"/>
                <w:b/>
                <w:color w:val="000000" w:themeColor="text1"/>
                <w:kern w:val="0"/>
                <w:sz w:val="20"/>
                <w:szCs w:val="20"/>
                <w14:textFill>
                  <w14:solidFill>
                    <w14:schemeClr w14:val="tx1"/>
                  </w14:solidFill>
                </w14:textFill>
              </w:rPr>
            </w:pPr>
            <w:r>
              <w:rPr>
                <w:rFonts w:hint="eastAsia" w:ascii="宋体" w:hAnsi="宋体" w:cs="宋体"/>
                <w:b/>
                <w:bCs/>
                <w:szCs w:val="21"/>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绪论</w:t>
            </w:r>
          </w:p>
          <w:p>
            <w:pPr>
              <w:snapToGrid w:val="0"/>
              <w:spacing w:line="288" w:lineRule="auto"/>
              <w:rPr>
                <w:rFonts w:ascii="宋体" w:hAnsi="宋体"/>
                <w:sz w:val="18"/>
                <w:szCs w:val="18"/>
              </w:rPr>
            </w:pPr>
          </w:p>
        </w:tc>
        <w:tc>
          <w:tcPr>
            <w:tcW w:w="2410" w:type="dxa"/>
          </w:tcPr>
          <w:p>
            <w:pPr>
              <w:snapToGrid w:val="0"/>
              <w:spacing w:line="288" w:lineRule="auto"/>
              <w:rPr>
                <w:rFonts w:ascii="宋体" w:hAnsi="宋体"/>
                <w:sz w:val="18"/>
                <w:szCs w:val="18"/>
              </w:rPr>
            </w:pPr>
            <w:r>
              <w:rPr>
                <w:rFonts w:hint="eastAsia" w:ascii="宋体" w:hAnsi="宋体"/>
                <w:sz w:val="18"/>
                <w:szCs w:val="18"/>
              </w:rPr>
              <w:t>1.知道外科护理学的概念和外科护士应具备的素质。；</w:t>
            </w:r>
          </w:p>
          <w:p>
            <w:pPr>
              <w:snapToGrid w:val="0"/>
              <w:spacing w:line="288" w:lineRule="auto"/>
              <w:rPr>
                <w:rFonts w:ascii="宋体" w:hAnsi="宋体"/>
                <w:sz w:val="18"/>
                <w:szCs w:val="18"/>
              </w:rPr>
            </w:pPr>
            <w:r>
              <w:rPr>
                <w:rFonts w:hint="eastAsia" w:ascii="宋体" w:hAnsi="宋体"/>
                <w:sz w:val="18"/>
                <w:szCs w:val="18"/>
              </w:rPr>
              <w:t>2.理解学习外科护理学的方法；</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能运用学习外科护理学的方法。</w:t>
            </w:r>
          </w:p>
        </w:tc>
        <w:tc>
          <w:tcPr>
            <w:tcW w:w="1418"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.具有“以人的健康为中心”，全心全意为外科病人提供整体护理的意识。</w:t>
            </w:r>
          </w:p>
          <w:p>
            <w:pPr>
              <w:snapToGrid w:val="0"/>
              <w:spacing w:line="288" w:lineRule="auto"/>
              <w:rPr>
                <w:rFonts w:ascii="宋体" w:hAnsi="宋体"/>
                <w:sz w:val="18"/>
                <w:szCs w:val="18"/>
              </w:rPr>
            </w:pPr>
          </w:p>
          <w:p>
            <w:pPr>
              <w:snapToGrid w:val="0"/>
              <w:spacing w:line="288" w:lineRule="auto"/>
              <w:rPr>
                <w:rFonts w:ascii="宋体" w:hAnsi="宋体"/>
                <w:sz w:val="18"/>
                <w:szCs w:val="18"/>
              </w:rPr>
            </w:pPr>
          </w:p>
        </w:tc>
        <w:tc>
          <w:tcPr>
            <w:tcW w:w="1276" w:type="dxa"/>
          </w:tcPr>
          <w:p>
            <w:pPr>
              <w:snapToGrid w:val="0"/>
              <w:spacing w:line="288" w:lineRule="auto"/>
              <w:rPr>
                <w:rFonts w:ascii="宋体" w:hAnsi="宋体"/>
                <w:sz w:val="18"/>
                <w:szCs w:val="18"/>
              </w:rPr>
            </w:pPr>
            <w:r>
              <w:rPr>
                <w:rFonts w:hint="eastAsia" w:ascii="宋体" w:hAnsi="宋体"/>
                <w:sz w:val="18"/>
                <w:szCs w:val="18"/>
              </w:rPr>
              <w:t>1.外科护士应具备的素质的认识。</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学习外科护理学方法的认识。</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水、电解质、酸碱平衡失调病人的护理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1.知道高渗性脱水、低渗性脱水、等渗性脱水、低钾血症和高钾血症的概念；</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.运用静脉补钾原则和补液原则；</w:t>
            </w:r>
          </w:p>
          <w:p>
            <w:pPr>
              <w:snapToGrid w:val="0"/>
              <w:spacing w:line="288" w:lineRule="auto"/>
              <w:rPr>
                <w:rFonts w:ascii="宋体" w:hAnsi="宋体"/>
                <w:sz w:val="18"/>
                <w:szCs w:val="18"/>
              </w:rPr>
            </w:pPr>
            <w:r>
              <w:rPr>
                <w:rFonts w:ascii="宋体" w:hAnsi="宋体"/>
                <w:sz w:val="18"/>
                <w:szCs w:val="18"/>
              </w:rPr>
              <w:t>3.</w:t>
            </w:r>
            <w:r>
              <w:rPr>
                <w:rFonts w:hint="eastAsia" w:ascii="宋体" w:hAnsi="宋体"/>
                <w:sz w:val="18"/>
                <w:szCs w:val="18"/>
              </w:rPr>
              <w:t>理解三种缺水、钾代谢紊乱的临床表现和处理原则。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1.学会对三种缺水类型的识别和缺水程度的判断，能独立进行静脉输液。</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.在护理体液失衡病人时要认真细致地观察病人的病情变化，并给予理解和关怀。</w:t>
            </w:r>
          </w:p>
        </w:tc>
        <w:tc>
          <w:tcPr>
            <w:tcW w:w="1276" w:type="dxa"/>
          </w:tcPr>
          <w:p>
            <w:pPr>
              <w:snapToGrid w:val="0"/>
              <w:spacing w:line="288" w:lineRule="auto"/>
              <w:rPr>
                <w:rFonts w:ascii="宋体" w:hAnsi="宋体"/>
                <w:sz w:val="18"/>
                <w:szCs w:val="18"/>
              </w:rPr>
            </w:pPr>
            <w:r>
              <w:rPr>
                <w:rFonts w:hint="eastAsia" w:ascii="宋体" w:hAnsi="宋体"/>
                <w:sz w:val="18"/>
                <w:szCs w:val="18"/>
              </w:rPr>
              <w:t xml:space="preserve">1.静脉补液补钾的原则的理解。      </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.如何判断静脉补液有效的运用。</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5</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3</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营养支持病人的护理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1.知道营养支持、肠内营养和肠外营养的概念；</w:t>
            </w:r>
          </w:p>
          <w:p>
            <w:pPr>
              <w:snapToGrid w:val="0"/>
              <w:spacing w:line="288" w:lineRule="auto"/>
              <w:rPr>
                <w:rFonts w:ascii="宋体" w:hAnsi="宋体"/>
                <w:sz w:val="18"/>
                <w:szCs w:val="18"/>
              </w:rPr>
            </w:pPr>
            <w:r>
              <w:rPr>
                <w:rFonts w:hint="eastAsia" w:ascii="宋体" w:hAnsi="宋体"/>
                <w:sz w:val="18"/>
                <w:szCs w:val="18"/>
              </w:rPr>
              <w:t>2.理解营养支持的适应证、方法、并发症；</w:t>
            </w:r>
          </w:p>
          <w:p>
            <w:pPr>
              <w:snapToGrid w:val="0"/>
              <w:spacing w:line="288" w:lineRule="auto"/>
              <w:rPr>
                <w:rFonts w:ascii="宋体" w:hAnsi="宋体"/>
                <w:sz w:val="18"/>
                <w:szCs w:val="18"/>
              </w:rPr>
            </w:pPr>
            <w:r>
              <w:rPr>
                <w:rFonts w:hint="eastAsia" w:ascii="宋体" w:hAnsi="宋体"/>
                <w:sz w:val="18"/>
                <w:szCs w:val="18"/>
              </w:rPr>
              <w:t>3.运用营养支持病人护理评估及护理措施；</w:t>
            </w:r>
            <w:r>
              <w:rPr>
                <w:rFonts w:ascii="宋体" w:hAnsi="宋体"/>
                <w:sz w:val="18"/>
                <w:szCs w:val="18"/>
              </w:rPr>
              <w:t xml:space="preserve"> </w:t>
            </w:r>
          </w:p>
        </w:tc>
        <w:tc>
          <w:tcPr>
            <w:tcW w:w="1984" w:type="dxa"/>
          </w:tcPr>
          <w:p>
            <w:pPr>
              <w:snapToGrid w:val="0"/>
              <w:spacing w:line="288" w:lineRule="auto"/>
              <w:rPr>
                <w:rFonts w:ascii="宋体" w:hAnsi="宋体"/>
                <w:sz w:val="18"/>
                <w:szCs w:val="18"/>
              </w:rPr>
            </w:pPr>
            <w:r>
              <w:rPr>
                <w:rFonts w:hint="eastAsia" w:ascii="宋体" w:hAnsi="宋体"/>
                <w:sz w:val="18"/>
                <w:szCs w:val="18"/>
              </w:rPr>
              <w:t>1.能运用护理程序对肠内营养和或肠外营养支持病人实施整体护理。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在对病人进行外科营养支持疗法时要体现出关心和爱护的态度</w:t>
            </w:r>
          </w:p>
        </w:tc>
        <w:tc>
          <w:tcPr>
            <w:tcW w:w="1276"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.肠内、外营养支持的护理措施的认识。</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 xml:space="preserve">.肠外营养支持并发症及护理的认识。 </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4</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外科休克病人的护理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1.知道休克的概念、分类、临床表现及处理原则；</w:t>
            </w:r>
          </w:p>
          <w:p>
            <w:pPr>
              <w:snapToGrid w:val="0"/>
              <w:spacing w:line="288" w:lineRule="auto"/>
              <w:rPr>
                <w:rFonts w:ascii="宋体" w:hAnsi="宋体"/>
                <w:sz w:val="18"/>
                <w:szCs w:val="18"/>
              </w:rPr>
            </w:pPr>
            <w:r>
              <w:rPr>
                <w:rFonts w:hint="eastAsia" w:ascii="宋体" w:hAnsi="宋体"/>
                <w:sz w:val="18"/>
                <w:szCs w:val="18"/>
              </w:rPr>
              <w:t>2.知道低血容量性休克、感染性休克概念及临床表现；</w:t>
            </w:r>
          </w:p>
          <w:p>
            <w:pPr>
              <w:snapToGrid w:val="0"/>
              <w:spacing w:line="288" w:lineRule="auto"/>
              <w:rPr>
                <w:rFonts w:ascii="宋体" w:hAnsi="宋体"/>
                <w:sz w:val="18"/>
                <w:szCs w:val="18"/>
              </w:rPr>
            </w:pPr>
            <w:r>
              <w:rPr>
                <w:rFonts w:hint="eastAsia" w:ascii="宋体" w:hAnsi="宋体"/>
                <w:sz w:val="18"/>
                <w:szCs w:val="18"/>
              </w:rPr>
              <w:t>3.理解休克常用的监测指标及意义</w:t>
            </w:r>
            <w:r>
              <w:rPr>
                <w:rFonts w:ascii="宋体" w:hAnsi="宋体"/>
                <w:sz w:val="18"/>
                <w:szCs w:val="18"/>
              </w:rPr>
              <w:t xml:space="preserve"> </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能运用相关知识参与配合休克病人的抢救</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在抢救休克病人时具有沉着冷静，井然有序的工作作风</w:t>
            </w:r>
          </w:p>
        </w:tc>
        <w:tc>
          <w:tcPr>
            <w:tcW w:w="1276" w:type="dxa"/>
          </w:tcPr>
          <w:p>
            <w:pPr>
              <w:snapToGrid w:val="0"/>
              <w:spacing w:line="288" w:lineRule="auto"/>
              <w:rPr>
                <w:rFonts w:ascii="宋体" w:hAnsi="宋体"/>
                <w:sz w:val="18"/>
                <w:szCs w:val="18"/>
              </w:rPr>
            </w:pPr>
            <w:r>
              <w:rPr>
                <w:rFonts w:hint="eastAsia" w:ascii="宋体" w:hAnsi="宋体"/>
                <w:sz w:val="18"/>
                <w:szCs w:val="18"/>
              </w:rPr>
              <w:t>1.休克护理措施的应用。</w:t>
            </w:r>
            <w:r>
              <w:rPr>
                <w:rFonts w:ascii="宋体" w:hAnsi="宋体"/>
                <w:sz w:val="18"/>
                <w:szCs w:val="18"/>
              </w:rPr>
              <w:t xml:space="preserve"> </w:t>
            </w:r>
          </w:p>
          <w:p>
            <w:pPr>
              <w:snapToGrid w:val="0"/>
              <w:spacing w:line="288" w:lineRule="auto"/>
              <w:rPr>
                <w:rFonts w:ascii="宋体" w:hAnsi="宋体"/>
                <w:sz w:val="18"/>
                <w:szCs w:val="18"/>
              </w:rPr>
            </w:pPr>
            <w:r>
              <w:rPr>
                <w:rFonts w:hint="eastAsia" w:ascii="宋体" w:hAnsi="宋体"/>
                <w:sz w:val="18"/>
                <w:szCs w:val="18"/>
              </w:rPr>
              <w:t>2.休克常用监测指标的理解。</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4</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5</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麻醉病人的护理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1.知道麻醉前和全麻病人的护理措施；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.理解椎管内麻醉并发症的预防和护理；</w:t>
            </w:r>
          </w:p>
          <w:p>
            <w:pPr>
              <w:snapToGrid w:val="0"/>
              <w:spacing w:line="288" w:lineRule="auto"/>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知道各种麻醉方式</w:t>
            </w:r>
          </w:p>
        </w:tc>
        <w:tc>
          <w:tcPr>
            <w:tcW w:w="1984" w:type="dxa"/>
          </w:tcPr>
          <w:p>
            <w:pPr>
              <w:snapToGrid w:val="0"/>
              <w:spacing w:line="288" w:lineRule="auto"/>
              <w:rPr>
                <w:rFonts w:ascii="宋体" w:hAnsi="宋体"/>
                <w:sz w:val="18"/>
                <w:szCs w:val="18"/>
              </w:rPr>
            </w:pPr>
            <w:r>
              <w:rPr>
                <w:rFonts w:hint="eastAsia" w:ascii="宋体" w:hAnsi="宋体"/>
                <w:sz w:val="18"/>
                <w:szCs w:val="18"/>
              </w:rPr>
              <w:t>1.能运用相关知识，对手术前病人进行护理评估；</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.能运用麻醉护理知识和技能对麻醉病人进行护理</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在护理麻醉病人的过程中，具有认真、负责的工作态度</w:t>
            </w:r>
          </w:p>
        </w:tc>
        <w:tc>
          <w:tcPr>
            <w:tcW w:w="1276" w:type="dxa"/>
          </w:tcPr>
          <w:p>
            <w:pPr>
              <w:snapToGrid w:val="0"/>
              <w:spacing w:line="288" w:lineRule="auto"/>
              <w:rPr>
                <w:rFonts w:ascii="宋体" w:hAnsi="宋体"/>
                <w:sz w:val="18"/>
                <w:szCs w:val="18"/>
              </w:rPr>
            </w:pPr>
            <w:r>
              <w:rPr>
                <w:rFonts w:hint="eastAsia" w:ascii="宋体" w:hAnsi="宋体"/>
                <w:sz w:val="18"/>
                <w:szCs w:val="18"/>
              </w:rPr>
              <w:t>1.麻醉前的常规准备工作的认识。</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全麻并发症的防治及护理的应用</w:t>
            </w:r>
          </w:p>
        </w:tc>
        <w:tc>
          <w:tcPr>
            <w:tcW w:w="567"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6</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手术室护理工作</w:t>
            </w:r>
          </w:p>
        </w:tc>
        <w:tc>
          <w:tcPr>
            <w:tcW w:w="2410" w:type="dxa"/>
          </w:tcPr>
          <w:p>
            <w:pPr>
              <w:snapToGrid w:val="0"/>
              <w:spacing w:line="288" w:lineRule="auto"/>
              <w:rPr>
                <w:rFonts w:ascii="宋体" w:hAnsi="宋体"/>
                <w:sz w:val="18"/>
                <w:szCs w:val="18"/>
              </w:rPr>
            </w:pPr>
            <w:r>
              <w:rPr>
                <w:rFonts w:hint="eastAsia" w:ascii="宋体" w:hAnsi="宋体"/>
                <w:sz w:val="18"/>
                <w:szCs w:val="18"/>
              </w:rPr>
              <w:t>1.知道手术室巡回护士和器械护士的工作职责；</w:t>
            </w:r>
          </w:p>
          <w:p>
            <w:pPr>
              <w:snapToGrid w:val="0"/>
              <w:spacing w:line="288"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运用手术中无菌操作原则；</w:t>
            </w:r>
          </w:p>
          <w:p>
            <w:pPr>
              <w:snapToGrid w:val="0"/>
              <w:spacing w:line="288" w:lineRule="auto"/>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了解手术室环境、手术用物及无菌处理。</w:t>
            </w: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学会外科洗手法、穿无菌手术衣和戴无菌手套。</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.具有良好的无菌观念，严谨的工作态度及观察、分析、解决问题的能力、团队合作能力，良好的人文精神</w:t>
            </w:r>
          </w:p>
          <w:p>
            <w:pPr>
              <w:snapToGrid w:val="0"/>
              <w:spacing w:line="288" w:lineRule="auto"/>
              <w:rPr>
                <w:rFonts w:ascii="宋体" w:hAnsi="宋体"/>
                <w:sz w:val="18"/>
                <w:szCs w:val="18"/>
              </w:rPr>
            </w:pPr>
          </w:p>
        </w:tc>
        <w:tc>
          <w:tcPr>
            <w:tcW w:w="1276" w:type="dxa"/>
          </w:tcPr>
          <w:p>
            <w:pPr>
              <w:snapToGrid w:val="0"/>
              <w:spacing w:line="288" w:lineRule="auto"/>
              <w:rPr>
                <w:rFonts w:ascii="宋体" w:hAnsi="宋体"/>
                <w:sz w:val="18"/>
                <w:szCs w:val="18"/>
              </w:rPr>
            </w:pPr>
            <w:r>
              <w:rPr>
                <w:rFonts w:hint="eastAsia" w:ascii="宋体" w:hAnsi="宋体"/>
                <w:sz w:val="18"/>
                <w:szCs w:val="18"/>
              </w:rPr>
              <w:t>1.穿无菌手术衣、无接触式戴手套的运用。</w:t>
            </w:r>
          </w:p>
          <w:p>
            <w:pPr>
              <w:snapToGrid w:val="0"/>
              <w:spacing w:line="288" w:lineRule="auto"/>
              <w:rPr>
                <w:rFonts w:ascii="宋体" w:hAnsi="宋体"/>
                <w:sz w:val="18"/>
                <w:szCs w:val="18"/>
              </w:rPr>
            </w:pPr>
            <w:r>
              <w:rPr>
                <w:rFonts w:hint="eastAsia" w:ascii="宋体" w:hAnsi="宋体"/>
                <w:sz w:val="18"/>
                <w:szCs w:val="18"/>
              </w:rPr>
              <w:t>2.手术中无菌操作原则的运用。</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pPr>
              <w:widowControl/>
              <w:textAlignment w:val="center"/>
              <w:rPr>
                <w:rFonts w:ascii="宋体" w:hAnsi="宋体"/>
                <w:sz w:val="18"/>
                <w:szCs w:val="18"/>
              </w:rPr>
            </w:pPr>
            <w:r>
              <w:rPr>
                <w:rFonts w:hint="eastAsia" w:ascii="宋体" w:hAnsi="宋体" w:cs="宋体"/>
                <w:color w:val="000000"/>
                <w:kern w:val="0"/>
                <w:sz w:val="18"/>
                <w:szCs w:val="18"/>
                <w:lang w:bidi="ar"/>
              </w:rPr>
              <w:t>4</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7</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手术前后病人的护理</w:t>
            </w:r>
          </w:p>
          <w:p>
            <w:pPr>
              <w:snapToGrid w:val="0"/>
              <w:spacing w:line="288" w:lineRule="auto"/>
              <w:rPr>
                <w:rFonts w:ascii="宋体" w:hAnsi="宋体"/>
                <w:sz w:val="18"/>
                <w:szCs w:val="18"/>
              </w:rPr>
            </w:pPr>
          </w:p>
          <w:p>
            <w:pPr>
              <w:snapToGrid w:val="0"/>
              <w:spacing w:line="288" w:lineRule="auto"/>
              <w:rPr>
                <w:rFonts w:ascii="宋体" w:hAnsi="宋体"/>
                <w:sz w:val="18"/>
                <w:szCs w:val="18"/>
              </w:rPr>
            </w:pPr>
          </w:p>
        </w:tc>
        <w:tc>
          <w:tcPr>
            <w:tcW w:w="2410"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知道围术期、围术期护理的概念</w:t>
            </w:r>
          </w:p>
          <w:p>
            <w:pPr>
              <w:snapToGrid w:val="0"/>
              <w:spacing w:line="288" w:lineRule="auto"/>
              <w:rPr>
                <w:rFonts w:ascii="宋体" w:hAnsi="宋体"/>
                <w:sz w:val="18"/>
                <w:szCs w:val="18"/>
              </w:rPr>
            </w:pPr>
            <w:r>
              <w:rPr>
                <w:rFonts w:hint="eastAsia" w:ascii="宋体" w:hAnsi="宋体"/>
                <w:sz w:val="18"/>
                <w:szCs w:val="18"/>
              </w:rPr>
              <w:t>2.理解术前及术后评估内容；</w:t>
            </w:r>
          </w:p>
          <w:p>
            <w:pPr>
              <w:snapToGrid w:val="0"/>
              <w:spacing w:line="288" w:lineRule="auto"/>
              <w:rPr>
                <w:rFonts w:ascii="宋体" w:hAnsi="宋体"/>
                <w:sz w:val="18"/>
                <w:szCs w:val="18"/>
              </w:rPr>
            </w:pPr>
            <w:r>
              <w:rPr>
                <w:rFonts w:hint="eastAsia" w:ascii="宋体" w:hAnsi="宋体"/>
                <w:sz w:val="18"/>
                <w:szCs w:val="18"/>
              </w:rPr>
              <w:t>3．运用术前、术后病人的护理措施；</w:t>
            </w:r>
          </w:p>
          <w:p>
            <w:pPr>
              <w:snapToGrid w:val="0"/>
              <w:spacing w:line="288" w:lineRule="auto"/>
              <w:rPr>
                <w:rFonts w:ascii="宋体" w:hAnsi="宋体"/>
                <w:sz w:val="18"/>
                <w:szCs w:val="18"/>
              </w:rPr>
            </w:pPr>
            <w:r>
              <w:rPr>
                <w:rFonts w:hint="eastAsia" w:ascii="宋体" w:hAnsi="宋体"/>
                <w:sz w:val="18"/>
                <w:szCs w:val="18"/>
              </w:rPr>
              <w:t>4.了解术前适应症训练的内容、手术分类。</w:t>
            </w:r>
            <w:r>
              <w:rPr>
                <w:rFonts w:ascii="宋体" w:hAnsi="宋体"/>
                <w:sz w:val="18"/>
                <w:szCs w:val="18"/>
              </w:rPr>
              <w:t xml:space="preserve"> </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能运用护理程序为病人提供围术期整体护理；</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.能运用所学知识，对常见术后不适和并发症采取正确的预防和护理措施。</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具有严格无菌概念和认真负责态度，注重人文关怀</w:t>
            </w:r>
          </w:p>
        </w:tc>
        <w:tc>
          <w:tcPr>
            <w:tcW w:w="1276" w:type="dxa"/>
          </w:tcPr>
          <w:p>
            <w:pPr>
              <w:snapToGrid w:val="0"/>
              <w:spacing w:line="288" w:lineRule="auto"/>
              <w:rPr>
                <w:rFonts w:ascii="宋体" w:hAnsi="宋体"/>
                <w:sz w:val="18"/>
                <w:szCs w:val="18"/>
              </w:rPr>
            </w:pPr>
            <w:r>
              <w:rPr>
                <w:rFonts w:hint="eastAsia" w:ascii="宋体" w:hAnsi="宋体"/>
                <w:sz w:val="18"/>
                <w:szCs w:val="18"/>
              </w:rPr>
              <w:t>1.术后常见并发症及观察要点的理解。</w:t>
            </w:r>
          </w:p>
          <w:p>
            <w:pPr>
              <w:snapToGrid w:val="0"/>
              <w:spacing w:line="288" w:lineRule="auto"/>
              <w:rPr>
                <w:rFonts w:ascii="宋体" w:hAnsi="宋体"/>
                <w:sz w:val="18"/>
                <w:szCs w:val="18"/>
              </w:rPr>
            </w:pPr>
            <w:r>
              <w:rPr>
                <w:rFonts w:hint="eastAsia" w:ascii="宋体" w:hAnsi="宋体"/>
                <w:sz w:val="18"/>
                <w:szCs w:val="18"/>
              </w:rPr>
              <w:t>2.术前适应性锻炼的具体内容的运用。</w:t>
            </w:r>
          </w:p>
        </w:tc>
        <w:tc>
          <w:tcPr>
            <w:tcW w:w="567" w:type="dxa"/>
            <w:vAlign w:val="center"/>
          </w:tcPr>
          <w:p>
            <w:pPr>
              <w:widowControl/>
              <w:textAlignment w:val="center"/>
              <w:rPr>
                <w:rFonts w:ascii="宋体" w:hAnsi="宋体"/>
                <w:sz w:val="18"/>
                <w:szCs w:val="18"/>
              </w:rPr>
            </w:pPr>
            <w:r>
              <w:rPr>
                <w:rFonts w:ascii="宋体" w:hAnsi="宋体" w:cs="宋体"/>
                <w:color w:val="000000"/>
                <w:kern w:val="0"/>
                <w:sz w:val="18"/>
                <w:szCs w:val="18"/>
                <w:lang w:bidi="ar"/>
              </w:rPr>
              <w:t>0</w:t>
            </w:r>
          </w:p>
        </w:tc>
        <w:tc>
          <w:tcPr>
            <w:tcW w:w="425"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8</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外科感染病人的护理</w:t>
            </w:r>
          </w:p>
          <w:p>
            <w:pPr>
              <w:snapToGrid w:val="0"/>
              <w:spacing w:line="288" w:lineRule="auto"/>
              <w:rPr>
                <w:rFonts w:ascii="宋体" w:hAnsi="宋体"/>
                <w:sz w:val="18"/>
                <w:szCs w:val="18"/>
              </w:rPr>
            </w:pPr>
          </w:p>
        </w:tc>
        <w:tc>
          <w:tcPr>
            <w:tcW w:w="2410" w:type="dxa"/>
          </w:tcPr>
          <w:p>
            <w:pPr>
              <w:snapToGrid w:val="0"/>
              <w:spacing w:line="288" w:lineRule="auto"/>
              <w:rPr>
                <w:rFonts w:ascii="宋体" w:hAnsi="宋体"/>
                <w:sz w:val="18"/>
                <w:szCs w:val="18"/>
              </w:rPr>
            </w:pPr>
            <w:r>
              <w:rPr>
                <w:rFonts w:hint="eastAsia" w:ascii="宋体" w:hAnsi="宋体"/>
                <w:sz w:val="18"/>
                <w:szCs w:val="18"/>
              </w:rPr>
              <w:t>1.知道外科感染的特点、临床表现和处理原则；</w:t>
            </w:r>
          </w:p>
          <w:p>
            <w:pPr>
              <w:snapToGrid w:val="0"/>
              <w:spacing w:line="288" w:lineRule="auto"/>
              <w:rPr>
                <w:rFonts w:ascii="宋体" w:hAnsi="宋体"/>
                <w:sz w:val="18"/>
                <w:szCs w:val="18"/>
              </w:rPr>
            </w:pPr>
            <w:r>
              <w:rPr>
                <w:rFonts w:hint="eastAsia" w:ascii="宋体" w:hAnsi="宋体"/>
                <w:sz w:val="18"/>
                <w:szCs w:val="18"/>
              </w:rPr>
              <w:t>2.理解常见软组织化脓性感染、手部急性化脓性感染、全身性感染的临床表现和处理原则；</w:t>
            </w:r>
            <w:r>
              <w:rPr>
                <w:rFonts w:ascii="宋体" w:hAnsi="宋体"/>
                <w:sz w:val="18"/>
                <w:szCs w:val="18"/>
              </w:rPr>
              <w:t xml:space="preserve"> </w:t>
            </w:r>
          </w:p>
          <w:p>
            <w:pPr>
              <w:snapToGrid w:val="0"/>
              <w:spacing w:line="288" w:lineRule="auto"/>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分析破伤风的临床表现、处理原则及气性坏疽的护理措施。</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能说出破伤风的护理评估、临床表现、处理原则和护理措施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.能运用所学知识和技能为外科感染病人提供整体护理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具有理解、关系、体贴病人的 意识，以及在护理过程中具有良好的无菌观念</w:t>
            </w:r>
          </w:p>
        </w:tc>
        <w:tc>
          <w:tcPr>
            <w:tcW w:w="1276" w:type="dxa"/>
          </w:tcPr>
          <w:p>
            <w:pPr>
              <w:snapToGrid w:val="0"/>
              <w:spacing w:line="288" w:lineRule="auto"/>
              <w:rPr>
                <w:rFonts w:ascii="宋体" w:hAnsi="宋体"/>
                <w:sz w:val="18"/>
                <w:szCs w:val="18"/>
              </w:rPr>
            </w:pPr>
            <w:r>
              <w:rPr>
                <w:rFonts w:hint="eastAsia" w:ascii="宋体" w:hAnsi="宋体"/>
                <w:sz w:val="18"/>
                <w:szCs w:val="18"/>
              </w:rPr>
              <w:t>1.破伤风典型的症状和体征、处理原则和护理措施的认识。</w:t>
            </w:r>
          </w:p>
          <w:p>
            <w:pPr>
              <w:snapToGrid w:val="0"/>
              <w:spacing w:line="288" w:lineRule="auto"/>
              <w:rPr>
                <w:rFonts w:ascii="宋体" w:hAnsi="宋体"/>
                <w:sz w:val="18"/>
                <w:szCs w:val="18"/>
              </w:rPr>
            </w:pPr>
            <w:r>
              <w:rPr>
                <w:rFonts w:hint="eastAsia" w:ascii="宋体" w:hAnsi="宋体"/>
                <w:sz w:val="18"/>
                <w:szCs w:val="18"/>
              </w:rPr>
              <w:t xml:space="preserve">2.破伤风的病因及病理生理的理解。  </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9</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损伤病人的护理</w:t>
            </w:r>
          </w:p>
          <w:p>
            <w:pPr>
              <w:snapToGrid w:val="0"/>
              <w:spacing w:line="288" w:lineRule="auto"/>
              <w:rPr>
                <w:rFonts w:ascii="宋体" w:hAnsi="宋体"/>
                <w:sz w:val="18"/>
                <w:szCs w:val="18"/>
              </w:rPr>
            </w:pPr>
          </w:p>
        </w:tc>
        <w:tc>
          <w:tcPr>
            <w:tcW w:w="2410" w:type="dxa"/>
          </w:tcPr>
          <w:p>
            <w:pPr>
              <w:snapToGrid w:val="0"/>
              <w:spacing w:line="288" w:lineRule="auto"/>
              <w:rPr>
                <w:rFonts w:ascii="宋体" w:hAnsi="宋体"/>
                <w:sz w:val="18"/>
                <w:szCs w:val="18"/>
              </w:rPr>
            </w:pPr>
            <w:r>
              <w:rPr>
                <w:rFonts w:hint="eastAsia" w:ascii="宋体" w:hAnsi="宋体"/>
                <w:sz w:val="18"/>
                <w:szCs w:val="18"/>
              </w:rPr>
              <w:t>1.知道创伤、烧伤病人的护理措施及急救原则；</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 xml:space="preserve">.理解创伤、烧伤病人的处理原则及观察指标； </w:t>
            </w:r>
          </w:p>
          <w:p>
            <w:pPr>
              <w:snapToGrid w:val="0"/>
              <w:spacing w:line="288" w:lineRule="auto"/>
              <w:rPr>
                <w:rFonts w:ascii="宋体" w:hAnsi="宋体"/>
                <w:sz w:val="18"/>
                <w:szCs w:val="18"/>
              </w:rPr>
            </w:pPr>
            <w:r>
              <w:rPr>
                <w:rFonts w:ascii="宋体" w:hAnsi="宋体"/>
                <w:sz w:val="18"/>
                <w:szCs w:val="18"/>
              </w:rPr>
              <w:t>3</w:t>
            </w:r>
            <w:r>
              <w:rPr>
                <w:rFonts w:hint="eastAsia" w:ascii="宋体" w:hAnsi="宋体"/>
                <w:sz w:val="18"/>
                <w:szCs w:val="18"/>
              </w:rPr>
              <w:t>.运用清创术的5个步骤及换药方法。</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 xml:space="preserve">1.能运用创伤、烧伤病人的护理知识和技能，运用护理程序为创伤、烧伤病人实施整体护理 </w:t>
            </w:r>
          </w:p>
          <w:p>
            <w:pPr>
              <w:snapToGrid w:val="0"/>
              <w:spacing w:line="288" w:lineRule="auto"/>
              <w:rPr>
                <w:rFonts w:ascii="宋体" w:hAnsi="宋体"/>
                <w:sz w:val="18"/>
                <w:szCs w:val="18"/>
              </w:rPr>
            </w:pPr>
            <w:r>
              <w:rPr>
                <w:rFonts w:hint="eastAsia" w:ascii="宋体" w:hAnsi="宋体"/>
                <w:sz w:val="18"/>
                <w:szCs w:val="18"/>
              </w:rPr>
              <w:t xml:space="preserve"> </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具有良好的无菌观念和高度的责任感，注重人文关怀，能与病人进行良好的沟通</w:t>
            </w:r>
          </w:p>
        </w:tc>
        <w:tc>
          <w:tcPr>
            <w:tcW w:w="1276"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.创伤、烧伤护理措施的运用。</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.烧伤面积、深度、严重程度的理解。</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488"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10</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肿瘤病人的护理</w:t>
            </w:r>
          </w:p>
          <w:p>
            <w:pPr>
              <w:snapToGrid w:val="0"/>
              <w:spacing w:line="288" w:lineRule="auto"/>
              <w:rPr>
                <w:rFonts w:ascii="宋体" w:hAnsi="宋体"/>
                <w:sz w:val="18"/>
                <w:szCs w:val="18"/>
              </w:rPr>
            </w:pPr>
          </w:p>
        </w:tc>
        <w:tc>
          <w:tcPr>
            <w:tcW w:w="2410" w:type="dxa"/>
          </w:tcPr>
          <w:p>
            <w:pPr>
              <w:snapToGrid w:val="0"/>
              <w:spacing w:line="288" w:lineRule="auto"/>
              <w:rPr>
                <w:rFonts w:ascii="宋体" w:hAnsi="宋体"/>
                <w:sz w:val="18"/>
                <w:szCs w:val="18"/>
              </w:rPr>
            </w:pPr>
            <w:r>
              <w:rPr>
                <w:rFonts w:hint="eastAsia" w:ascii="宋体" w:hAnsi="宋体"/>
                <w:sz w:val="18"/>
                <w:szCs w:val="18"/>
              </w:rPr>
              <w:t>1.知道恶性肿瘤的三级预防、恶性肿瘤病人的心理特点及护理；</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知道肿瘤病人的护理措施；</w:t>
            </w:r>
          </w:p>
          <w:p>
            <w:pPr>
              <w:snapToGrid w:val="0"/>
              <w:spacing w:line="288" w:lineRule="auto"/>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理解肿瘤的症状、体征、辅助检查和处理原则。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1.学会肿瘤病人的护理评估方法，能运用护理程序对肿瘤病人实施整体护理</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在护理中，应有高度的同情心，关心体贴病人</w:t>
            </w:r>
          </w:p>
        </w:tc>
        <w:tc>
          <w:tcPr>
            <w:tcW w:w="1276" w:type="dxa"/>
          </w:tcPr>
          <w:p>
            <w:pPr>
              <w:snapToGrid w:val="0"/>
              <w:spacing w:line="288" w:lineRule="auto"/>
              <w:rPr>
                <w:rFonts w:ascii="宋体" w:hAnsi="宋体"/>
                <w:sz w:val="18"/>
                <w:szCs w:val="18"/>
              </w:rPr>
            </w:pPr>
            <w:r>
              <w:rPr>
                <w:rFonts w:hint="eastAsia" w:ascii="宋体" w:hAnsi="宋体"/>
                <w:sz w:val="18"/>
                <w:szCs w:val="18"/>
              </w:rPr>
              <w:t>1.肿瘤化疗护理措施的认识。</w:t>
            </w:r>
          </w:p>
          <w:p>
            <w:pPr>
              <w:snapToGrid w:val="0"/>
              <w:spacing w:line="288" w:lineRule="auto"/>
              <w:rPr>
                <w:rFonts w:ascii="宋体" w:hAnsi="宋体"/>
                <w:sz w:val="18"/>
                <w:szCs w:val="18"/>
              </w:rPr>
            </w:pPr>
            <w:r>
              <w:rPr>
                <w:rFonts w:hint="eastAsia" w:ascii="宋体" w:hAnsi="宋体"/>
                <w:sz w:val="18"/>
                <w:szCs w:val="18"/>
              </w:rPr>
              <w:t>2.肿瘤的三级预防的理解。</w:t>
            </w:r>
          </w:p>
        </w:tc>
        <w:tc>
          <w:tcPr>
            <w:tcW w:w="567"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11</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颅脑疾病病人的护理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1.知道颅内压、颅内压增高、脑疝的概念；</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知道颅内压增高、脑疝、颅脑损伤、颅内肿瘤等病人的护理评估和护理措施及脑疝急救；</w:t>
            </w:r>
          </w:p>
          <w:p>
            <w:pPr>
              <w:snapToGrid w:val="0"/>
              <w:spacing w:line="288" w:lineRule="auto"/>
              <w:rPr>
                <w:rFonts w:ascii="宋体" w:hAnsi="宋体"/>
                <w:sz w:val="18"/>
                <w:szCs w:val="18"/>
              </w:rPr>
            </w:pPr>
            <w:r>
              <w:rPr>
                <w:rFonts w:ascii="宋体" w:hAnsi="宋体"/>
                <w:sz w:val="18"/>
                <w:szCs w:val="18"/>
              </w:rPr>
              <w:t>3.</w:t>
            </w:r>
            <w:r>
              <w:rPr>
                <w:rFonts w:hint="eastAsia" w:ascii="宋体" w:hAnsi="宋体"/>
                <w:sz w:val="18"/>
                <w:szCs w:val="18"/>
              </w:rPr>
              <w:t>理解颅内压增高、颅脑损伤等疾病的病因及处理原则。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1.能运用所学知识能评估颅脑疾病病人的病情异常变化，能及时采取护理措施；</w:t>
            </w:r>
          </w:p>
          <w:p>
            <w:pPr>
              <w:snapToGrid w:val="0"/>
              <w:spacing w:line="288"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能熟练进行脑室外引流管护理，体现出严格无菌观念</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具有高度责任感和尊重、爱护病人，以及耐心、细致的态度</w:t>
            </w:r>
          </w:p>
        </w:tc>
        <w:tc>
          <w:tcPr>
            <w:tcW w:w="1276" w:type="dxa"/>
          </w:tcPr>
          <w:p>
            <w:pPr>
              <w:snapToGrid w:val="0"/>
              <w:spacing w:line="288" w:lineRule="auto"/>
              <w:rPr>
                <w:rFonts w:ascii="宋体" w:hAnsi="宋体"/>
                <w:sz w:val="18"/>
                <w:szCs w:val="18"/>
              </w:rPr>
            </w:pPr>
            <w:r>
              <w:rPr>
                <w:rFonts w:hint="eastAsia" w:ascii="宋体" w:hAnsi="宋体"/>
                <w:sz w:val="18"/>
                <w:szCs w:val="18"/>
              </w:rPr>
              <w:t>1.颅内压增高、颅脑损伤的护理措施的应用。</w:t>
            </w:r>
          </w:p>
          <w:p>
            <w:pPr>
              <w:snapToGrid w:val="0"/>
              <w:spacing w:line="288"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rPr>
              <w:t xml:space="preserve"> </w:t>
            </w:r>
            <w:r>
              <w:rPr>
                <w:rFonts w:hint="eastAsia" w:ascii="宋体" w:hAnsi="宋体"/>
                <w:sz w:val="18"/>
                <w:szCs w:val="18"/>
              </w:rPr>
              <w:t>颅内压增高、颅脑损伤的病情观察的理解。</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4</w:t>
            </w:r>
          </w:p>
        </w:tc>
        <w:tc>
          <w:tcPr>
            <w:tcW w:w="425"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88"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12</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颈部疾病病人的护理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1.知道单纯性甲状腺肿、甲状腺功能亢进、甲状腺肿瘤的症状、体征和护理措施；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理解单纯性甲状腺肿、甲状腺功能亢进、甲状腺肿瘤的辅助检查和处理原则。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1.学会对单纯性甲状腺肿、甲状腺功能亢进、甲状腺肿瘤病人的护理评估内容、方法；2</w:t>
            </w:r>
            <w:r>
              <w:rPr>
                <w:rFonts w:ascii="宋体" w:hAnsi="宋体"/>
                <w:sz w:val="18"/>
                <w:szCs w:val="18"/>
              </w:rPr>
              <w:t>.</w:t>
            </w:r>
            <w:r>
              <w:rPr>
                <w:rFonts w:hint="eastAsia" w:ascii="宋体" w:hAnsi="宋体"/>
                <w:sz w:val="18"/>
                <w:szCs w:val="18"/>
              </w:rPr>
              <w:t>能运用甲状腺疾病的护理知识和技能对甲状腺疾病病人实施整体护理</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具有良好的心理素质和护患交流能力，尊重病人，关爱病人，保护病人隐私</w:t>
            </w:r>
          </w:p>
        </w:tc>
        <w:tc>
          <w:tcPr>
            <w:tcW w:w="1276"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.甲状腺外科治疗护理措施的认识。</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.甲状腺切除术后并发症的常见原因及发生机制的理解。</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13</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胸部疾病病人的护理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1.知道闭合性气胸、开放性气胸、张力性气胸、胸廓反常呼吸运动、连枷胸、纵隔扑动等概念；</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知道胸部损伤、肺癌、食管癌、心脏疾病的护理措施；</w:t>
            </w:r>
          </w:p>
          <w:p>
            <w:pPr>
              <w:snapToGrid w:val="0"/>
              <w:spacing w:line="288" w:lineRule="auto"/>
              <w:rPr>
                <w:rFonts w:ascii="宋体" w:hAnsi="宋体"/>
                <w:sz w:val="18"/>
                <w:szCs w:val="18"/>
              </w:rPr>
            </w:pPr>
            <w:r>
              <w:rPr>
                <w:rFonts w:ascii="宋体" w:hAnsi="宋体"/>
                <w:sz w:val="18"/>
                <w:szCs w:val="18"/>
              </w:rPr>
              <w:t>3.</w:t>
            </w:r>
            <w:r>
              <w:rPr>
                <w:rFonts w:hint="eastAsia" w:ascii="宋体" w:hAnsi="宋体"/>
                <w:sz w:val="18"/>
                <w:szCs w:val="18"/>
              </w:rPr>
              <w:t>理解胸部损伤、心脏疾病的症状、体征、处理原则；</w:t>
            </w:r>
          </w:p>
          <w:p>
            <w:pPr>
              <w:snapToGrid w:val="0"/>
              <w:spacing w:line="288" w:lineRule="auto"/>
              <w:rPr>
                <w:rFonts w:ascii="宋体" w:hAnsi="宋体"/>
                <w:sz w:val="18"/>
                <w:szCs w:val="18"/>
              </w:rPr>
            </w:pPr>
            <w:r>
              <w:rPr>
                <w:rFonts w:ascii="宋体" w:hAnsi="宋体"/>
                <w:sz w:val="18"/>
                <w:szCs w:val="18"/>
              </w:rPr>
              <w:t>4.</w:t>
            </w:r>
            <w:r>
              <w:rPr>
                <w:rFonts w:hint="eastAsia" w:ascii="宋体" w:hAnsi="宋体"/>
                <w:sz w:val="18"/>
                <w:szCs w:val="18"/>
              </w:rPr>
              <w:t>理解肺癌、食管癌的病因、症状、体征、处理原则。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能运用所学知识，按护理程序对胸部损伤、肺癌、食管癌、二尖瓣狭窄和冠心病病人实施整体护理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在护理胸部疾病病人的过程中，具有认真负责、严谨的工作态度和高尚的人文素养</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胸腔闭式引流护理的运用。</w:t>
            </w:r>
          </w:p>
          <w:p>
            <w:pPr>
              <w:snapToGrid w:val="0"/>
              <w:spacing w:line="288"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开放性气胸、张力性气胸的急救原则的理解。</w:t>
            </w:r>
          </w:p>
        </w:tc>
        <w:tc>
          <w:tcPr>
            <w:tcW w:w="567"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p>
        </w:tc>
        <w:tc>
          <w:tcPr>
            <w:tcW w:w="425"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88"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14</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乳房疾病病人的护理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1.知道急性乳房炎的病因及预防措施；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知道乳腺癌的临床表现及护理措施；</w:t>
            </w:r>
          </w:p>
          <w:p>
            <w:pPr>
              <w:snapToGrid w:val="0"/>
              <w:spacing w:line="288" w:lineRule="auto"/>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理解急性乳腺炎的临床表现、处理原则及护理诊断；</w:t>
            </w:r>
          </w:p>
          <w:p>
            <w:pPr>
              <w:snapToGrid w:val="0"/>
              <w:spacing w:line="288" w:lineRule="auto"/>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理解乳腺癌的病因、处理原则及护理诊断。</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1.学会正确的乳房自查方法，能正确指导病人进行自我检查；</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 xml:space="preserve">能运用乳房疾病的护理知识和技能对乳房疾病病人实施整体护理 </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具有高度的责任心，能理解、尊重、同情和关心病人，建立良好的护患关系</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乳腺癌术后护理措施的运用</w:t>
            </w:r>
          </w:p>
          <w:p>
            <w:pPr>
              <w:snapToGrid w:val="0"/>
              <w:spacing w:line="288"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乳房自检方法的运用。</w:t>
            </w:r>
            <w:r>
              <w:rPr>
                <w:rFonts w:ascii="宋体" w:hAnsi="宋体"/>
                <w:sz w:val="18"/>
                <w:szCs w:val="18"/>
              </w:rPr>
              <w:t xml:space="preserve"> </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15</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腹外疝病人的护理</w:t>
            </w:r>
          </w:p>
          <w:p>
            <w:pPr>
              <w:snapToGrid w:val="0"/>
              <w:spacing w:line="288" w:lineRule="auto"/>
              <w:rPr>
                <w:rFonts w:ascii="宋体" w:hAnsi="宋体"/>
                <w:sz w:val="18"/>
                <w:szCs w:val="18"/>
              </w:rPr>
            </w:pPr>
          </w:p>
          <w:p>
            <w:pPr>
              <w:snapToGrid w:val="0"/>
              <w:spacing w:line="288" w:lineRule="auto"/>
              <w:rPr>
                <w:rFonts w:ascii="宋体" w:hAnsi="宋体"/>
                <w:sz w:val="18"/>
                <w:szCs w:val="18"/>
              </w:rPr>
            </w:pPr>
          </w:p>
        </w:tc>
        <w:tc>
          <w:tcPr>
            <w:tcW w:w="2410" w:type="dxa"/>
          </w:tcPr>
          <w:p>
            <w:pPr>
              <w:snapToGrid w:val="0"/>
              <w:spacing w:line="288" w:lineRule="auto"/>
              <w:rPr>
                <w:rFonts w:ascii="宋体" w:hAnsi="宋体"/>
                <w:sz w:val="18"/>
                <w:szCs w:val="18"/>
              </w:rPr>
            </w:pPr>
            <w:r>
              <w:rPr>
                <w:rFonts w:hint="eastAsia" w:ascii="宋体" w:hAnsi="宋体"/>
                <w:sz w:val="18"/>
                <w:szCs w:val="18"/>
              </w:rPr>
              <w:t>1.知道腹股沟疝、股疝的症状、体征、处理原则、手术前后护理措施。</w:t>
            </w:r>
          </w:p>
        </w:tc>
        <w:tc>
          <w:tcPr>
            <w:tcW w:w="1984" w:type="dxa"/>
          </w:tcPr>
          <w:p>
            <w:pPr>
              <w:snapToGrid w:val="0"/>
              <w:spacing w:line="288" w:lineRule="auto"/>
              <w:rPr>
                <w:rFonts w:ascii="宋体" w:hAnsi="宋体"/>
                <w:sz w:val="18"/>
                <w:szCs w:val="18"/>
              </w:rPr>
            </w:pPr>
            <w:r>
              <w:rPr>
                <w:rFonts w:hint="eastAsia" w:ascii="宋体" w:hAnsi="宋体"/>
                <w:sz w:val="18"/>
                <w:szCs w:val="18"/>
              </w:rPr>
              <w:t>1.学会腹外疝相关知识，运用护理程序对腹外疝病人实施整体护理</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具有对病人高度负责的态度和责任心，关心爱护病人</w:t>
            </w:r>
          </w:p>
        </w:tc>
        <w:tc>
          <w:tcPr>
            <w:tcW w:w="1276" w:type="dxa"/>
          </w:tcPr>
          <w:p>
            <w:pPr>
              <w:snapToGrid w:val="0"/>
              <w:spacing w:line="288" w:lineRule="auto"/>
              <w:rPr>
                <w:rFonts w:ascii="宋体" w:hAnsi="宋体"/>
                <w:sz w:val="18"/>
                <w:szCs w:val="18"/>
              </w:rPr>
            </w:pPr>
            <w:r>
              <w:rPr>
                <w:rFonts w:hint="eastAsia" w:ascii="宋体" w:hAnsi="宋体"/>
                <w:sz w:val="18"/>
                <w:szCs w:val="18"/>
              </w:rPr>
              <w:t>1.斜疝与直疝的鉴别</w:t>
            </w:r>
          </w:p>
          <w:p>
            <w:pPr>
              <w:snapToGrid w:val="0"/>
              <w:spacing w:line="288" w:lineRule="auto"/>
              <w:rPr>
                <w:rFonts w:ascii="宋体" w:hAnsi="宋体"/>
                <w:sz w:val="18"/>
                <w:szCs w:val="18"/>
              </w:rPr>
            </w:pPr>
          </w:p>
          <w:p>
            <w:pPr>
              <w:snapToGrid w:val="0"/>
              <w:spacing w:line="288" w:lineRule="auto"/>
              <w:rPr>
                <w:rFonts w:ascii="宋体" w:hAnsi="宋体"/>
                <w:sz w:val="18"/>
                <w:szCs w:val="18"/>
              </w:rPr>
            </w:pP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16</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急性化脓性腹膜炎与腹部损伤病人的护理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1.知道急性化脓性腹膜炎和腹腹部损伤的临床表现及护理措施；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.理解急性化脓性腹膜炎和腹腹部损伤的病因、分类和处理原则。</w:t>
            </w:r>
          </w:p>
          <w:p>
            <w:pPr>
              <w:snapToGrid w:val="0"/>
              <w:spacing w:line="288" w:lineRule="auto"/>
              <w:rPr>
                <w:rFonts w:ascii="宋体" w:hAnsi="宋体"/>
                <w:sz w:val="18"/>
                <w:szCs w:val="18"/>
              </w:rPr>
            </w:pP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学会用急性腹膜炎和腹部损伤病人的护理知识和技能对病人实施整体护理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具有对病人高度负责的态度和责任心，关心爱护病人</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腹部实质性器官和空腔脏器损伤的临床特点</w:t>
            </w:r>
          </w:p>
          <w:p>
            <w:pPr>
              <w:snapToGrid w:val="0"/>
              <w:spacing w:line="288" w:lineRule="auto"/>
              <w:rPr>
                <w:rFonts w:ascii="宋体" w:hAnsi="宋体"/>
                <w:sz w:val="18"/>
                <w:szCs w:val="18"/>
              </w:rPr>
            </w:pPr>
            <w:r>
              <w:rPr>
                <w:rFonts w:hint="eastAsia" w:ascii="宋体" w:hAnsi="宋体"/>
                <w:sz w:val="18"/>
                <w:szCs w:val="18"/>
              </w:rPr>
              <w:t xml:space="preserve">2.诊断性腹腔穿刺的结果判断 </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3</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17</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胃十二指肠疾病病人的护理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1.知道胃十二指肠溃疡、胃癌病人手术前后护理措施；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理解胃十二指肠溃疡的外科治疗适应症、并发症；</w:t>
            </w:r>
          </w:p>
          <w:p>
            <w:pPr>
              <w:snapToGrid w:val="0"/>
              <w:spacing w:line="288" w:lineRule="auto"/>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理解胃癌的病因、分类、临床特点及处理原则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1.学会用胃十二指肠疾病病人的护理知识和技能对病人实施整体护理</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认真细致地观察病人的病情变化，并给予理解和关怀人</w:t>
            </w:r>
          </w:p>
        </w:tc>
        <w:tc>
          <w:tcPr>
            <w:tcW w:w="1276"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.胃十二指肠溃疡术后并发症的观察与护理</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.胃十二指肠溃疡、胃癌的护理评估</w:t>
            </w:r>
          </w:p>
        </w:tc>
        <w:tc>
          <w:tcPr>
            <w:tcW w:w="567"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488"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18</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肠疾病病人的护理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1.知道急性阑尾炎、肠梗阻、结直肠癌病人的护理措；</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理解急性阑尾炎、肠梗阻、结直肠癌病人的临床表现、辅助检查和处理原则。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.学会肠疾病病人的护理知识和技能，能运用护理程序对肠疾病病人实施整体护理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具有高度的责任感、耐心、细致的工作态度，注重人文关怀</w:t>
            </w:r>
            <w:r>
              <w:rPr>
                <w:rFonts w:ascii="宋体" w:hAnsi="宋体"/>
                <w:sz w:val="18"/>
                <w:szCs w:val="18"/>
              </w:rPr>
              <w:t xml:space="preserve"> </w:t>
            </w:r>
          </w:p>
        </w:tc>
        <w:tc>
          <w:tcPr>
            <w:tcW w:w="1276"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.急性阑尾炎的特殊体征的认识</w:t>
            </w:r>
          </w:p>
          <w:p>
            <w:pPr>
              <w:snapToGrid w:val="0"/>
              <w:spacing w:line="288" w:lineRule="auto"/>
              <w:rPr>
                <w:rFonts w:ascii="宋体" w:hAnsi="宋体"/>
                <w:sz w:val="18"/>
                <w:szCs w:val="18"/>
              </w:rPr>
            </w:pPr>
            <w:r>
              <w:rPr>
                <w:rFonts w:hint="eastAsia" w:ascii="宋体" w:hAnsi="宋体"/>
                <w:sz w:val="18"/>
                <w:szCs w:val="18"/>
              </w:rPr>
              <w:t>2.肠梗阻的分类的认识</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4</w:t>
            </w:r>
          </w:p>
        </w:tc>
        <w:tc>
          <w:tcPr>
            <w:tcW w:w="425"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88"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19</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肛管疾病病人的护理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知道肛管疾病病人的护理措施；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理解肛管疾病的症状、体征、辅助检查和处理原则。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.学会肛管疾病病人的护理知识和技能，能运用护理程序对肛管疾病病人实施整体护理</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具有高度的责任感、耐心、细致的工作态度，注重人文关怀</w:t>
            </w:r>
            <w:r>
              <w:rPr>
                <w:rFonts w:ascii="宋体" w:hAnsi="宋体"/>
                <w:sz w:val="18"/>
                <w:szCs w:val="18"/>
              </w:rPr>
              <w:t xml:space="preserve"> </w:t>
            </w:r>
          </w:p>
        </w:tc>
        <w:tc>
          <w:tcPr>
            <w:tcW w:w="1276" w:type="dxa"/>
          </w:tcPr>
          <w:p>
            <w:pPr>
              <w:snapToGrid w:val="0"/>
              <w:spacing w:line="288" w:lineRule="auto"/>
              <w:rPr>
                <w:rFonts w:ascii="宋体" w:hAnsi="宋体"/>
                <w:sz w:val="18"/>
                <w:szCs w:val="18"/>
              </w:rPr>
            </w:pPr>
            <w:r>
              <w:rPr>
                <w:rFonts w:hint="eastAsia" w:ascii="宋体" w:hAnsi="宋体"/>
                <w:sz w:val="18"/>
                <w:szCs w:val="18"/>
              </w:rPr>
              <w:t>1直肠肛管检查的体位及记录的认识</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20</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肝胆疾病病人的护理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知道门静脉高压、墨菲氏征（Murphy）、Charcot三联征、Reynolds五联征的概念；</w:t>
            </w:r>
          </w:p>
          <w:p>
            <w:pPr>
              <w:snapToGrid w:val="0"/>
              <w:spacing w:line="288"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知道原发性肝癌、门静脉高压、胆道疾病的护理措施；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理解原发性肝癌、门静脉高压、胆道疾病的症状、体征、辅助检查和处理原则。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1.能运用原发性肝癌、门静脉高压、胆道疾病的护理知识和技能对病人实施整体护理</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在护理工作中，具有为病人健康服务的意识，具备严谨求实的工作态度，对病人有爱心、耐心与责任心</w:t>
            </w:r>
          </w:p>
        </w:tc>
        <w:tc>
          <w:tcPr>
            <w:tcW w:w="1276"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.胆道疾病的护理要点的应用</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肝性脑病的预防和护理的理解</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6</w:t>
            </w:r>
          </w:p>
        </w:tc>
        <w:tc>
          <w:tcPr>
            <w:tcW w:w="425"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4</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21</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胰腺疾病病人的护理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1.知道急性胰腺炎病人的临床特点及重症急性胰腺炎术后引流管的护理要点；</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理解急性胰腺炎的病因、发病机制、处理原则及胰腺癌的临床特点、处理原则。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1.学会急性胰腺炎、胰腺癌病人的护理知识和技能，能运用护理程序对急性胰腺炎病人和胰腺癌病人实施整体护理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具有高度责任感和认真的工作态度，关爱、同情与尊重病人</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急性胰腺炎病人的临床特点的认识</w:t>
            </w:r>
          </w:p>
          <w:p>
            <w:pPr>
              <w:snapToGrid w:val="0"/>
              <w:spacing w:line="288"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重症胰腺炎术后引流管的护理</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22</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急腹症病人的护理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知道急腹症的常见病因、处理原则、护理措施及常见急腹症的鉴别要点；</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理解急腹症腹痛的特点</w:t>
            </w:r>
          </w:p>
        </w:tc>
        <w:tc>
          <w:tcPr>
            <w:tcW w:w="1984" w:type="dxa"/>
          </w:tcPr>
          <w:p>
            <w:pPr>
              <w:snapToGrid w:val="0"/>
              <w:spacing w:line="288" w:lineRule="auto"/>
              <w:rPr>
                <w:rFonts w:ascii="宋体" w:hAnsi="宋体"/>
                <w:sz w:val="18"/>
                <w:szCs w:val="18"/>
              </w:rPr>
            </w:pPr>
            <w:r>
              <w:rPr>
                <w:rFonts w:hint="eastAsia" w:ascii="宋体" w:hAnsi="宋体"/>
                <w:sz w:val="18"/>
                <w:szCs w:val="18"/>
              </w:rPr>
              <w:t>1.学会急腹症病人的护理知识和技能，能运用护理程序对急腹症病人实施整体护理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具有高度的责任心，关心爱护病人</w:t>
            </w:r>
          </w:p>
        </w:tc>
        <w:tc>
          <w:tcPr>
            <w:tcW w:w="1276" w:type="dxa"/>
          </w:tcPr>
          <w:p>
            <w:pPr>
              <w:snapToGrid w:val="0"/>
              <w:spacing w:line="288" w:lineRule="auto"/>
              <w:rPr>
                <w:rFonts w:ascii="宋体" w:hAnsi="宋体"/>
                <w:sz w:val="18"/>
                <w:szCs w:val="18"/>
              </w:rPr>
            </w:pPr>
            <w:r>
              <w:rPr>
                <w:rFonts w:hint="eastAsia" w:ascii="宋体" w:hAnsi="宋体"/>
                <w:sz w:val="18"/>
                <w:szCs w:val="18"/>
              </w:rPr>
              <w:t>1.急腹症腹痛特点的认识；</w:t>
            </w:r>
          </w:p>
          <w:p>
            <w:pPr>
              <w:snapToGrid w:val="0"/>
              <w:spacing w:line="288" w:lineRule="auto"/>
              <w:rPr>
                <w:rFonts w:ascii="宋体" w:hAnsi="宋体"/>
                <w:sz w:val="18"/>
                <w:szCs w:val="18"/>
              </w:rPr>
            </w:pPr>
            <w:r>
              <w:rPr>
                <w:rFonts w:hint="eastAsia" w:ascii="宋体" w:hAnsi="宋体"/>
                <w:sz w:val="18"/>
                <w:szCs w:val="18"/>
              </w:rPr>
              <w:t>2.急腹症的鉴别要点的认识</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23</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周围血管疾病病人的护理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1.知道下肢静脉曲张、血栓闭塞性脉管炎病人的护理措施；</w:t>
            </w:r>
          </w:p>
          <w:p>
            <w:pPr>
              <w:snapToGrid w:val="0"/>
              <w:spacing w:line="288"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理解下肢静脉曲张、血栓闭塞性脉管炎病人的临床表现。</w:t>
            </w:r>
          </w:p>
        </w:tc>
        <w:tc>
          <w:tcPr>
            <w:tcW w:w="1984" w:type="dxa"/>
          </w:tcPr>
          <w:p>
            <w:pPr>
              <w:snapToGrid w:val="0"/>
              <w:spacing w:line="288" w:lineRule="auto"/>
              <w:rPr>
                <w:rFonts w:ascii="宋体" w:hAnsi="宋体"/>
                <w:sz w:val="18"/>
                <w:szCs w:val="18"/>
              </w:rPr>
            </w:pPr>
            <w:r>
              <w:rPr>
                <w:rFonts w:hint="eastAsia" w:ascii="宋体" w:hAnsi="宋体"/>
                <w:sz w:val="18"/>
                <w:szCs w:val="18"/>
              </w:rPr>
              <w:t>1.学会下肢静脉曲张、血栓闭塞性脉管炎的护理措施和健康指导的相关知识，能运用护理程序对周围血管疾病病人实施整体护理</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注重人文关怀，能与病人有良好的沟通</w:t>
            </w:r>
          </w:p>
        </w:tc>
        <w:tc>
          <w:tcPr>
            <w:tcW w:w="1276" w:type="dxa"/>
          </w:tcPr>
          <w:p>
            <w:pPr>
              <w:snapToGrid w:val="0"/>
              <w:spacing w:line="288" w:lineRule="auto"/>
              <w:rPr>
                <w:rFonts w:ascii="宋体" w:hAnsi="宋体"/>
                <w:sz w:val="18"/>
                <w:szCs w:val="18"/>
              </w:rPr>
            </w:pPr>
            <w:r>
              <w:rPr>
                <w:rFonts w:hint="eastAsia" w:ascii="宋体" w:hAnsi="宋体"/>
                <w:sz w:val="18"/>
                <w:szCs w:val="18"/>
              </w:rPr>
              <w:t>1下肢静脉曲张、血栓闭塞性脉管炎的护理</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血栓闭塞性脉管炎的功能锻炼</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24</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泌尿、男性生殖系统疾病的主要症状与检查</w:t>
            </w:r>
          </w:p>
        </w:tc>
        <w:tc>
          <w:tcPr>
            <w:tcW w:w="2410" w:type="dxa"/>
          </w:tcPr>
          <w:p>
            <w:pPr>
              <w:snapToGrid w:val="0"/>
              <w:spacing w:line="288" w:lineRule="auto"/>
              <w:rPr>
                <w:rFonts w:ascii="宋体" w:hAnsi="宋体"/>
                <w:sz w:val="18"/>
                <w:szCs w:val="18"/>
              </w:rPr>
            </w:pPr>
            <w:r>
              <w:rPr>
                <w:rFonts w:hint="eastAsia" w:ascii="宋体" w:hAnsi="宋体"/>
                <w:sz w:val="18"/>
                <w:szCs w:val="18"/>
              </w:rPr>
              <w:t>1.知道泌尿、男性生殖系统疾病的主要症状；</w:t>
            </w:r>
          </w:p>
          <w:p>
            <w:pPr>
              <w:snapToGrid w:val="0"/>
              <w:spacing w:line="288" w:lineRule="auto"/>
              <w:rPr>
                <w:rFonts w:ascii="宋体" w:hAnsi="宋体"/>
                <w:sz w:val="18"/>
                <w:szCs w:val="18"/>
              </w:rPr>
            </w:pPr>
            <w:r>
              <w:rPr>
                <w:rFonts w:hint="eastAsia" w:ascii="宋体" w:hAnsi="宋体"/>
                <w:sz w:val="18"/>
                <w:szCs w:val="18"/>
              </w:rPr>
              <w:t>2.理解泌尿、男性生殖系统疾病的检查和护理。</w:t>
            </w: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运用所学知识为泌尿、男性生殖系统疾病的检查方法和护理方法，能对病人实施有效的护理</w:t>
            </w:r>
          </w:p>
          <w:p>
            <w:pPr>
              <w:snapToGrid w:val="0"/>
              <w:spacing w:line="288" w:lineRule="auto"/>
              <w:rPr>
                <w:rFonts w:ascii="宋体" w:hAnsi="宋体"/>
                <w:sz w:val="18"/>
                <w:szCs w:val="18"/>
              </w:rPr>
            </w:pPr>
            <w:r>
              <w:rPr>
                <w:rFonts w:ascii="宋体" w:hAnsi="宋体"/>
                <w:sz w:val="18"/>
                <w:szCs w:val="18"/>
              </w:rPr>
              <w:t xml:space="preserve"> </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在护理操作中，注意保护病人隐私，具有良好的无菌观念和认真细致的工作态度</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泌尿、男性生殖系统疾病的主要症状、常用检查方法的认识</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25</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泌尿系统损伤病人的护理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1.知道肾、膀胱、尿道损伤的护理措施；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 xml:space="preserve">.理解肾、膀胱、尿道损伤的临床特点、辅助检查、处理原则。 </w:t>
            </w:r>
          </w:p>
          <w:p>
            <w:pPr>
              <w:snapToGrid w:val="0"/>
              <w:spacing w:line="288" w:lineRule="auto"/>
              <w:rPr>
                <w:rFonts w:ascii="宋体" w:hAnsi="宋体"/>
                <w:sz w:val="18"/>
                <w:szCs w:val="18"/>
              </w:rPr>
            </w:pP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1.能运用护理程序对肾、膀胱、尿道损伤病人实施整体护理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rPr>
              <w:t xml:space="preserve"> </w:t>
            </w:r>
            <w:r>
              <w:rPr>
                <w:rFonts w:hint="eastAsia" w:ascii="宋体" w:hAnsi="宋体"/>
                <w:sz w:val="18"/>
                <w:szCs w:val="18"/>
              </w:rPr>
              <w:t>在护理操作中，注意保护病人隐私，具有良好的无菌观念和认真细致的工作态度</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肾、膀胱、尿道损伤的临床特点及处理原则</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26</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尿结石病人的护理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1.知道尿石症病人的护理措施；</w:t>
            </w:r>
          </w:p>
          <w:p>
            <w:pPr>
              <w:snapToGrid w:val="0"/>
              <w:spacing w:line="288" w:lineRule="auto"/>
              <w:rPr>
                <w:rFonts w:ascii="宋体" w:hAnsi="宋体"/>
                <w:sz w:val="18"/>
                <w:szCs w:val="18"/>
              </w:rPr>
            </w:pPr>
            <w:r>
              <w:rPr>
                <w:rFonts w:hint="eastAsia" w:ascii="宋体" w:hAnsi="宋体"/>
                <w:sz w:val="18"/>
                <w:szCs w:val="18"/>
              </w:rPr>
              <w:t>2.理解尿石症的临床表现、辅助检查和处理原则。</w:t>
            </w:r>
          </w:p>
          <w:p>
            <w:pPr>
              <w:snapToGrid w:val="0"/>
              <w:spacing w:line="288" w:lineRule="auto"/>
              <w:rPr>
                <w:rFonts w:ascii="宋体" w:hAnsi="宋体"/>
                <w:sz w:val="18"/>
                <w:szCs w:val="18"/>
              </w:rPr>
            </w:pPr>
            <w:r>
              <w:rPr>
                <w:rFonts w:ascii="宋体" w:hAnsi="宋体"/>
                <w:sz w:val="18"/>
                <w:szCs w:val="18"/>
              </w:rPr>
              <w:t xml:space="preserve"> </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能运用护理程序对泌尿石症病人实施整体护理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1．具有高度的责任感、关心同情病人，在护理操作中，具有良好的无菌观念</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尿石症的临床特点及处理原则的认识</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w:t>
            </w:r>
            <w:r>
              <w:rPr>
                <w:rFonts w:ascii="宋体" w:hAnsi="宋体"/>
                <w:sz w:val="18"/>
                <w:szCs w:val="18"/>
              </w:rPr>
              <w:t>7</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泌尿、男性生殖系统结核病人的护理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1.知道泌尿、男性生殖系统结核病人的护理措施；</w:t>
            </w:r>
          </w:p>
          <w:p>
            <w:pPr>
              <w:snapToGrid w:val="0"/>
              <w:spacing w:line="288" w:lineRule="auto"/>
              <w:rPr>
                <w:rFonts w:ascii="宋体" w:hAnsi="宋体"/>
                <w:sz w:val="18"/>
                <w:szCs w:val="18"/>
              </w:rPr>
            </w:pPr>
            <w:r>
              <w:rPr>
                <w:rFonts w:hint="eastAsia" w:ascii="宋体" w:hAnsi="宋体"/>
                <w:sz w:val="18"/>
                <w:szCs w:val="18"/>
              </w:rPr>
              <w:t>2.理解泌尿、男性生殖系统结核病人的症状、体征、辅助检查和处理原则。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能运用护理程序对泌尿、男性生殖系统结核病人实施整体护理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1．具有高度的责任感以及耐心、细致的工作态度，尊重、关心爱护病人</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泌尿、男性生殖系统结核的临床表现</w:t>
            </w:r>
          </w:p>
        </w:tc>
        <w:tc>
          <w:tcPr>
            <w:tcW w:w="567"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w:t>
            </w:r>
          </w:p>
        </w:tc>
        <w:tc>
          <w:tcPr>
            <w:tcW w:w="42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w:t>
            </w:r>
            <w:r>
              <w:rPr>
                <w:rFonts w:ascii="宋体" w:hAnsi="宋体"/>
                <w:sz w:val="18"/>
                <w:szCs w:val="18"/>
              </w:rPr>
              <w:t>8</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泌尿系统肿瘤病人的护理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1.知道肾癌、膀胱癌和前列腺癌的护理措施；</w:t>
            </w:r>
          </w:p>
          <w:p>
            <w:pPr>
              <w:snapToGrid w:val="0"/>
              <w:spacing w:line="288" w:lineRule="auto"/>
              <w:rPr>
                <w:rFonts w:ascii="宋体" w:hAnsi="宋体"/>
                <w:sz w:val="18"/>
                <w:szCs w:val="18"/>
              </w:rPr>
            </w:pPr>
            <w:r>
              <w:rPr>
                <w:rFonts w:hint="eastAsia" w:ascii="宋体" w:hAnsi="宋体"/>
                <w:sz w:val="18"/>
                <w:szCs w:val="18"/>
              </w:rPr>
              <w:t>2.理解肾癌、膀胱癌、前列腺癌的临床特点、辅助检查和处理原则</w:t>
            </w:r>
          </w:p>
          <w:p>
            <w:pPr>
              <w:snapToGrid w:val="0"/>
              <w:spacing w:line="288" w:lineRule="auto"/>
              <w:rPr>
                <w:rFonts w:ascii="宋体" w:hAnsi="宋体"/>
                <w:sz w:val="18"/>
                <w:szCs w:val="18"/>
              </w:rPr>
            </w:pPr>
            <w:r>
              <w:rPr>
                <w:rFonts w:ascii="宋体" w:hAnsi="宋体"/>
                <w:sz w:val="18"/>
                <w:szCs w:val="18"/>
              </w:rPr>
              <w:t xml:space="preserve"> </w:t>
            </w:r>
          </w:p>
        </w:tc>
        <w:tc>
          <w:tcPr>
            <w:tcW w:w="1984" w:type="dxa"/>
          </w:tcPr>
          <w:p>
            <w:pPr>
              <w:snapToGrid w:val="0"/>
              <w:spacing w:line="288" w:lineRule="auto"/>
              <w:rPr>
                <w:rFonts w:ascii="宋体" w:hAnsi="宋体"/>
                <w:sz w:val="18"/>
                <w:szCs w:val="18"/>
              </w:rPr>
            </w:pPr>
            <w:r>
              <w:rPr>
                <w:rFonts w:hint="eastAsia" w:ascii="宋体" w:hAnsi="宋体"/>
                <w:sz w:val="18"/>
                <w:szCs w:val="18"/>
              </w:rPr>
              <w:t>1.能运用护理程序对泌尿、男性生殖系统肿瘤病人实施整体护理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具有保护病人的隐私的职业道德精神</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肾癌、膀胱癌的护理措施</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2</w:t>
            </w:r>
            <w:r>
              <w:rPr>
                <w:rFonts w:ascii="宋体" w:hAnsi="宋体"/>
                <w:sz w:val="18"/>
                <w:szCs w:val="18"/>
              </w:rPr>
              <w:t>9</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良性前列腺增生病人的护理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知道前列腺增生病人的护理措施；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理解前列腺增生病人的症状、体征、辅助检查、处理原则</w:t>
            </w: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能运用护理程序对前列腺增生病人实施整体护理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具有高度的责任感，关爱病人，在护理操作中具有良好的无菌观念</w:t>
            </w:r>
          </w:p>
          <w:p>
            <w:pPr>
              <w:snapToGrid w:val="0"/>
              <w:spacing w:line="288" w:lineRule="auto"/>
              <w:rPr>
                <w:rFonts w:ascii="宋体" w:hAnsi="宋体"/>
                <w:sz w:val="18"/>
                <w:szCs w:val="18"/>
              </w:rPr>
            </w:pP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良性前列腺增生症病人的术后护理的认识</w:t>
            </w:r>
          </w:p>
        </w:tc>
        <w:tc>
          <w:tcPr>
            <w:tcW w:w="56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r>
              <w:rPr>
                <w:rFonts w:ascii="宋体" w:hAnsi="宋体" w:cs="宋体"/>
                <w:color w:val="000000"/>
                <w:kern w:val="0"/>
                <w:sz w:val="18"/>
                <w:szCs w:val="18"/>
                <w:lang w:bidi="ar"/>
              </w:rPr>
              <w:t>.5</w:t>
            </w:r>
          </w:p>
        </w:tc>
        <w:tc>
          <w:tcPr>
            <w:tcW w:w="425"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88"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ascii="宋体" w:hAnsi="宋体"/>
                <w:sz w:val="18"/>
                <w:szCs w:val="18"/>
              </w:rPr>
              <w:t>30</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肾移植病人的护理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知道肾移植病人的护理措施；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理解肾移植病人的健康指导。</w:t>
            </w:r>
          </w:p>
          <w:p>
            <w:pPr>
              <w:snapToGrid w:val="0"/>
              <w:spacing w:line="288" w:lineRule="auto"/>
              <w:rPr>
                <w:rFonts w:ascii="宋体" w:hAnsi="宋体"/>
                <w:sz w:val="18"/>
                <w:szCs w:val="18"/>
              </w:rPr>
            </w:pP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1.运用护理程序对肾移植病人实施整体护理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rPr>
              <w:t xml:space="preserve"> </w:t>
            </w:r>
            <w:r>
              <w:rPr>
                <w:rFonts w:hint="eastAsia" w:ascii="宋体" w:hAnsi="宋体"/>
                <w:sz w:val="18"/>
                <w:szCs w:val="18"/>
              </w:rPr>
              <w:t>具有高度的责任感以及耐心、细致的工作态度，尊重、关心爱护病人</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肾移植的健康指导的运用</w:t>
            </w:r>
          </w:p>
        </w:tc>
        <w:tc>
          <w:tcPr>
            <w:tcW w:w="56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42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ascii="宋体" w:hAnsi="宋体"/>
                <w:sz w:val="18"/>
                <w:szCs w:val="18"/>
              </w:rPr>
              <w:t>31</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骨折病人的护理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1.知道骨折专有体征、处理原则和急救措施；</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知道四肢骨折、脊柱骨折及脊髓损伤病人的护理措施；</w:t>
            </w:r>
          </w:p>
          <w:p>
            <w:pPr>
              <w:snapToGrid w:val="0"/>
              <w:spacing w:line="288" w:lineRule="auto"/>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理解骨折的并发症，理解四肢骨折、脊柱骨折及脊髓损伤病人症状和体征。</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1.学会骨折病人的护理知识和技能，能运用所学知识对骨折病人实施整体护理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具有吃苦耐劳，与病人换位思考的意识</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各种骨折的处理原则的应用</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3</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3</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ascii="宋体" w:hAnsi="宋体"/>
                <w:sz w:val="18"/>
                <w:szCs w:val="18"/>
              </w:rPr>
              <w:t>32</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关节脱位病人的护理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1.知道常见关节脱位病人的护理措施和健康指导；</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理解常见关节脱位专有体征、处理原则、护理评估、常见护理诊断。</w:t>
            </w:r>
          </w:p>
        </w:tc>
        <w:tc>
          <w:tcPr>
            <w:tcW w:w="1984" w:type="dxa"/>
          </w:tcPr>
          <w:p>
            <w:pPr>
              <w:snapToGrid w:val="0"/>
              <w:spacing w:line="288" w:lineRule="auto"/>
              <w:rPr>
                <w:rFonts w:ascii="宋体" w:hAnsi="宋体"/>
                <w:sz w:val="18"/>
                <w:szCs w:val="18"/>
              </w:rPr>
            </w:pPr>
            <w:r>
              <w:rPr>
                <w:rFonts w:hint="eastAsia" w:ascii="宋体" w:hAnsi="宋体"/>
                <w:sz w:val="18"/>
                <w:szCs w:val="18"/>
              </w:rPr>
              <w:t>1.能运用护理程序对病人实施整体护理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认真细致地观察病人的病情变化，关爱生命并给予理解和关怀</w:t>
            </w:r>
          </w:p>
        </w:tc>
        <w:tc>
          <w:tcPr>
            <w:tcW w:w="1276" w:type="dxa"/>
          </w:tcPr>
          <w:p>
            <w:pPr>
              <w:snapToGrid w:val="0"/>
              <w:spacing w:line="288" w:lineRule="auto"/>
              <w:rPr>
                <w:rFonts w:ascii="宋体" w:hAnsi="宋体"/>
                <w:sz w:val="18"/>
                <w:szCs w:val="18"/>
              </w:rPr>
            </w:pPr>
            <w:r>
              <w:rPr>
                <w:rFonts w:hint="eastAsia" w:ascii="宋体" w:hAnsi="宋体"/>
                <w:sz w:val="18"/>
                <w:szCs w:val="18"/>
              </w:rPr>
              <w:t>1.关节脱位病人的护理评估的掌握</w:t>
            </w:r>
          </w:p>
          <w:p>
            <w:pPr>
              <w:snapToGrid w:val="0"/>
              <w:spacing w:line="288" w:lineRule="auto"/>
              <w:rPr>
                <w:rFonts w:ascii="宋体" w:hAnsi="宋体"/>
                <w:sz w:val="18"/>
                <w:szCs w:val="18"/>
              </w:rPr>
            </w:pP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3</w:t>
            </w:r>
            <w:r>
              <w:rPr>
                <w:rFonts w:ascii="宋体" w:hAnsi="宋体"/>
                <w:sz w:val="18"/>
                <w:szCs w:val="18"/>
              </w:rPr>
              <w:t>3</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骨与关节感染病人的护理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1.知道化脓性骨髓炎、化脓性关节炎和骨与关节结核病人的护理措施；</w:t>
            </w:r>
          </w:p>
          <w:p>
            <w:pPr>
              <w:snapToGrid w:val="0"/>
              <w:spacing w:line="288" w:lineRule="auto"/>
              <w:rPr>
                <w:rFonts w:ascii="宋体" w:hAnsi="宋体"/>
                <w:sz w:val="18"/>
                <w:szCs w:val="18"/>
              </w:rPr>
            </w:pPr>
            <w:r>
              <w:rPr>
                <w:rFonts w:hint="eastAsia" w:ascii="宋体" w:hAnsi="宋体"/>
                <w:sz w:val="18"/>
                <w:szCs w:val="18"/>
              </w:rPr>
              <w:t>2．理解化脓性骨髓炎、化脓性关节炎和骨与关节结核的病人的健康指导。</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hint="eastAsia" w:ascii="宋体" w:hAnsi="宋体"/>
                <w:sz w:val="18"/>
                <w:szCs w:val="18"/>
              </w:rPr>
              <w:t>1.运用护理程序对急性血源性化脓性骨髓炎和骨与关节结核围术期病人实施整体护理</w:t>
            </w:r>
          </w:p>
          <w:p>
            <w:pPr>
              <w:snapToGrid w:val="0"/>
              <w:spacing w:line="288" w:lineRule="auto"/>
              <w:rPr>
                <w:rFonts w:ascii="宋体" w:hAnsi="宋体"/>
                <w:sz w:val="18"/>
                <w:szCs w:val="18"/>
              </w:rPr>
            </w:pPr>
          </w:p>
        </w:tc>
        <w:tc>
          <w:tcPr>
            <w:tcW w:w="1418"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.具有吃苦耐劳，与病人换位思考的意识</w:t>
            </w:r>
          </w:p>
        </w:tc>
        <w:tc>
          <w:tcPr>
            <w:tcW w:w="1276" w:type="dxa"/>
          </w:tcPr>
          <w:p>
            <w:pPr>
              <w:snapToGrid w:val="0"/>
              <w:spacing w:line="288" w:lineRule="auto"/>
              <w:rPr>
                <w:rFonts w:ascii="宋体" w:hAnsi="宋体"/>
                <w:sz w:val="18"/>
                <w:szCs w:val="18"/>
              </w:rPr>
            </w:pPr>
            <w:r>
              <w:rPr>
                <w:rFonts w:hint="eastAsia" w:ascii="宋体" w:hAnsi="宋体"/>
                <w:sz w:val="18"/>
                <w:szCs w:val="18"/>
              </w:rPr>
              <w:t>1.化脓性骨髓炎的护理评估的应用</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3</w:t>
            </w:r>
            <w:r>
              <w:rPr>
                <w:rFonts w:ascii="宋体" w:hAnsi="宋体"/>
                <w:sz w:val="18"/>
                <w:szCs w:val="18"/>
              </w:rPr>
              <w:t>4</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颈肩痛与腰腿痛病人的护理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1.知道颈椎病与腰腿痛病人的护理措施和健康指导；</w:t>
            </w:r>
          </w:p>
          <w:p>
            <w:pPr>
              <w:snapToGrid w:val="0"/>
              <w:spacing w:line="288" w:lineRule="auto"/>
              <w:rPr>
                <w:rFonts w:ascii="宋体" w:hAnsi="宋体"/>
                <w:sz w:val="18"/>
                <w:szCs w:val="18"/>
              </w:rPr>
            </w:pPr>
            <w:r>
              <w:rPr>
                <w:rFonts w:ascii="宋体" w:hAnsi="宋体"/>
                <w:sz w:val="18"/>
                <w:szCs w:val="18"/>
              </w:rPr>
              <w:t>2.</w:t>
            </w:r>
            <w:r>
              <w:rPr>
                <w:rFonts w:hint="eastAsia" w:ascii="宋体" w:hAnsi="宋体"/>
                <w:sz w:val="18"/>
                <w:szCs w:val="18"/>
              </w:rPr>
              <w:t>理解颈椎病与腰腿痛病人的临床表现、处理原则。</w:t>
            </w:r>
          </w:p>
          <w:p>
            <w:pPr>
              <w:snapToGrid w:val="0"/>
              <w:spacing w:line="288" w:lineRule="auto"/>
              <w:rPr>
                <w:rFonts w:ascii="宋体" w:hAnsi="宋体"/>
                <w:sz w:val="18"/>
                <w:szCs w:val="18"/>
              </w:rPr>
            </w:pPr>
          </w:p>
        </w:tc>
        <w:tc>
          <w:tcPr>
            <w:tcW w:w="1984"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学会颈椎病与腰腿痛病人的护理方法，能运用护理程序对病人实施整体护理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认真细致地观察病人的病情变化，并给予理解和关怀</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颈椎病和腰椎间盘突出的临床表现及护理措施的运用</w:t>
            </w:r>
          </w:p>
          <w:p>
            <w:pPr>
              <w:snapToGrid w:val="0"/>
              <w:spacing w:line="288" w:lineRule="auto"/>
              <w:rPr>
                <w:rFonts w:ascii="宋体" w:hAnsi="宋体"/>
                <w:sz w:val="18"/>
                <w:szCs w:val="18"/>
              </w:rPr>
            </w:pP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2</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3</w:t>
            </w:r>
            <w:r>
              <w:rPr>
                <w:rFonts w:ascii="宋体" w:hAnsi="宋体"/>
                <w:sz w:val="18"/>
                <w:szCs w:val="18"/>
              </w:rPr>
              <w:t>5</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常见骨肿瘤病人的护理</w:t>
            </w:r>
          </w:p>
          <w:p>
            <w:pPr>
              <w:snapToGrid w:val="0"/>
              <w:spacing w:line="288" w:lineRule="auto"/>
              <w:rPr>
                <w:rFonts w:ascii="宋体" w:hAnsi="宋体"/>
                <w:sz w:val="18"/>
                <w:szCs w:val="18"/>
              </w:rPr>
            </w:pPr>
          </w:p>
        </w:tc>
        <w:tc>
          <w:tcPr>
            <w:tcW w:w="2410" w:type="dxa"/>
          </w:tcPr>
          <w:p>
            <w:pPr>
              <w:snapToGrid w:val="0"/>
              <w:spacing w:line="288" w:lineRule="auto"/>
              <w:rPr>
                <w:rFonts w:ascii="宋体" w:hAnsi="宋体"/>
                <w:sz w:val="18"/>
                <w:szCs w:val="18"/>
              </w:rPr>
            </w:pPr>
            <w:r>
              <w:rPr>
                <w:rFonts w:hint="eastAsia" w:ascii="宋体" w:hAnsi="宋体"/>
                <w:sz w:val="18"/>
                <w:szCs w:val="18"/>
              </w:rPr>
              <w:t>1.知道骨肿瘤病人的护理措施；</w:t>
            </w: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能运用护理程序对病人实施整体护理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注重人文关怀，能与病人良好沟通</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骨肿瘤的X线表现的认识</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0.5</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3</w:t>
            </w:r>
            <w:r>
              <w:rPr>
                <w:rFonts w:ascii="宋体" w:hAnsi="宋体"/>
                <w:sz w:val="18"/>
                <w:szCs w:val="18"/>
              </w:rPr>
              <w:t>6</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断肢（指）再植病人的护理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1.知道断肢（指）再植病人的现场急救及术后护理</w:t>
            </w:r>
          </w:p>
        </w:tc>
        <w:tc>
          <w:tcPr>
            <w:tcW w:w="1984" w:type="dxa"/>
          </w:tcPr>
          <w:p>
            <w:pPr>
              <w:snapToGrid w:val="0"/>
              <w:spacing w:line="288" w:lineRule="auto"/>
              <w:rPr>
                <w:rFonts w:ascii="宋体" w:hAnsi="宋体"/>
                <w:sz w:val="18"/>
                <w:szCs w:val="18"/>
              </w:rPr>
            </w:pPr>
            <w:r>
              <w:rPr>
                <w:rFonts w:ascii="宋体" w:hAnsi="宋体"/>
                <w:sz w:val="18"/>
                <w:szCs w:val="18"/>
              </w:rPr>
              <w:t>1.</w:t>
            </w:r>
            <w:r>
              <w:rPr>
                <w:rFonts w:hint="eastAsia" w:ascii="宋体" w:hAnsi="宋体"/>
                <w:sz w:val="18"/>
                <w:szCs w:val="18"/>
              </w:rPr>
              <w:t>能运用护理程序对病人实施整体护理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认真细致地观察病人的病情变化，关爱生命并给予理解和关怀</w:t>
            </w:r>
          </w:p>
          <w:p>
            <w:pPr>
              <w:snapToGrid w:val="0"/>
              <w:spacing w:line="288" w:lineRule="auto"/>
              <w:rPr>
                <w:rFonts w:ascii="宋体" w:hAnsi="宋体"/>
                <w:sz w:val="18"/>
                <w:szCs w:val="18"/>
              </w:rPr>
            </w:pP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断肢（指）再植病人现场急救的运用</w:t>
            </w:r>
          </w:p>
        </w:tc>
        <w:tc>
          <w:tcPr>
            <w:tcW w:w="567"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0.5</w:t>
            </w:r>
          </w:p>
        </w:tc>
        <w:tc>
          <w:tcPr>
            <w:tcW w:w="425" w:type="dxa"/>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sz w:val="18"/>
                <w:szCs w:val="18"/>
              </w:rPr>
            </w:pPr>
            <w:r>
              <w:rPr>
                <w:rFonts w:ascii="宋体" w:hAnsi="宋体" w:cs="宋体"/>
                <w:color w:val="000000"/>
                <w:kern w:val="0"/>
                <w:sz w:val="18"/>
                <w:szCs w:val="18"/>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sz w:val="18"/>
                <w:szCs w:val="18"/>
              </w:rPr>
              <w:t>3</w:t>
            </w:r>
            <w:r>
              <w:rPr>
                <w:rFonts w:ascii="宋体" w:hAnsi="宋体"/>
                <w:sz w:val="18"/>
                <w:szCs w:val="18"/>
              </w:rPr>
              <w:t>7</w:t>
            </w:r>
          </w:p>
        </w:tc>
        <w:tc>
          <w:tcPr>
            <w:tcW w:w="850" w:type="dxa"/>
            <w:vAlign w:val="center"/>
          </w:tcPr>
          <w:p>
            <w:pPr>
              <w:snapToGrid w:val="0"/>
              <w:spacing w:line="288" w:lineRule="auto"/>
              <w:rPr>
                <w:rFonts w:ascii="宋体" w:hAnsi="宋体"/>
                <w:sz w:val="18"/>
                <w:szCs w:val="18"/>
              </w:rPr>
            </w:pPr>
            <w:r>
              <w:rPr>
                <w:rFonts w:hint="eastAsia" w:ascii="宋体" w:hAnsi="宋体"/>
                <w:sz w:val="18"/>
                <w:szCs w:val="18"/>
              </w:rPr>
              <w:t>关节置换病人的护理</w:t>
            </w:r>
          </w:p>
        </w:tc>
        <w:tc>
          <w:tcPr>
            <w:tcW w:w="2410"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知道常见关节置换病人的护理措施</w:t>
            </w:r>
          </w:p>
        </w:tc>
        <w:tc>
          <w:tcPr>
            <w:tcW w:w="1984"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学会髋关节、膝关节置换术后病人护理方法，能运用护理程序对病人实施整体护理</w:t>
            </w:r>
          </w:p>
        </w:tc>
        <w:tc>
          <w:tcPr>
            <w:tcW w:w="1418" w:type="dxa"/>
          </w:tcPr>
          <w:p>
            <w:pPr>
              <w:snapToGrid w:val="0"/>
              <w:spacing w:line="288" w:lineRule="auto"/>
              <w:rPr>
                <w:rFonts w:ascii="宋体" w:hAnsi="宋体"/>
                <w:sz w:val="18"/>
                <w:szCs w:val="18"/>
              </w:rPr>
            </w:pPr>
            <w:r>
              <w:rPr>
                <w:rFonts w:hint="eastAsia" w:ascii="宋体" w:hAnsi="宋体"/>
                <w:sz w:val="18"/>
                <w:szCs w:val="18"/>
              </w:rPr>
              <w:t>1．注重人文关怀，能与病人良好沟通</w:t>
            </w:r>
          </w:p>
        </w:tc>
        <w:tc>
          <w:tcPr>
            <w:tcW w:w="1276" w:type="dxa"/>
          </w:tcPr>
          <w:p>
            <w:pPr>
              <w:snapToGrid w:val="0"/>
              <w:spacing w:line="288"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髋关节置换术后并发症观察与护理</w:t>
            </w:r>
          </w:p>
        </w:tc>
        <w:tc>
          <w:tcPr>
            <w:tcW w:w="567"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2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488" w:type="dxa"/>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421" w:type="dxa"/>
            <w:vAlign w:val="center"/>
          </w:tcPr>
          <w:p>
            <w:pPr>
              <w:snapToGrid w:val="0"/>
              <w:spacing w:line="288" w:lineRule="auto"/>
              <w:jc w:val="center"/>
              <w:rPr>
                <w:rFonts w:ascii="宋体" w:hAnsi="宋体"/>
                <w:sz w:val="18"/>
                <w:szCs w:val="18"/>
              </w:rPr>
            </w:pPr>
            <w:r>
              <w:rPr>
                <w:rFonts w:hint="eastAsia" w:ascii="宋体" w:hAnsi="宋体" w:cs="宋体"/>
                <w:b/>
                <w:sz w:val="18"/>
                <w:szCs w:val="18"/>
              </w:rPr>
              <w:t>合计</w:t>
            </w:r>
          </w:p>
        </w:tc>
        <w:tc>
          <w:tcPr>
            <w:tcW w:w="850" w:type="dxa"/>
            <w:vAlign w:val="center"/>
          </w:tcPr>
          <w:p>
            <w:pPr>
              <w:snapToGrid w:val="0"/>
              <w:spacing w:line="288" w:lineRule="auto"/>
              <w:jc w:val="center"/>
              <w:rPr>
                <w:rFonts w:ascii="宋体" w:hAnsi="宋体"/>
                <w:sz w:val="18"/>
                <w:szCs w:val="18"/>
              </w:rPr>
            </w:pPr>
          </w:p>
        </w:tc>
        <w:tc>
          <w:tcPr>
            <w:tcW w:w="2410" w:type="dxa"/>
            <w:vAlign w:val="center"/>
          </w:tcPr>
          <w:p>
            <w:pPr>
              <w:snapToGrid w:val="0"/>
              <w:spacing w:line="288" w:lineRule="auto"/>
              <w:jc w:val="center"/>
              <w:rPr>
                <w:rFonts w:ascii="宋体" w:hAnsi="宋体"/>
                <w:sz w:val="18"/>
                <w:szCs w:val="18"/>
              </w:rPr>
            </w:pPr>
          </w:p>
        </w:tc>
        <w:tc>
          <w:tcPr>
            <w:tcW w:w="1984" w:type="dxa"/>
            <w:vAlign w:val="center"/>
          </w:tcPr>
          <w:p>
            <w:pPr>
              <w:snapToGrid w:val="0"/>
              <w:spacing w:line="288" w:lineRule="auto"/>
              <w:jc w:val="center"/>
              <w:rPr>
                <w:rFonts w:ascii="宋体" w:hAnsi="宋体"/>
                <w:sz w:val="18"/>
                <w:szCs w:val="18"/>
              </w:rPr>
            </w:pPr>
          </w:p>
        </w:tc>
        <w:tc>
          <w:tcPr>
            <w:tcW w:w="1418" w:type="dxa"/>
          </w:tcPr>
          <w:p>
            <w:pPr>
              <w:snapToGrid w:val="0"/>
              <w:spacing w:line="288" w:lineRule="auto"/>
              <w:jc w:val="center"/>
              <w:rPr>
                <w:rFonts w:ascii="宋体" w:hAnsi="宋体"/>
                <w:sz w:val="18"/>
                <w:szCs w:val="18"/>
              </w:rPr>
            </w:pPr>
          </w:p>
        </w:tc>
        <w:tc>
          <w:tcPr>
            <w:tcW w:w="1276" w:type="dxa"/>
            <w:vAlign w:val="center"/>
          </w:tcPr>
          <w:p>
            <w:pPr>
              <w:snapToGrid w:val="0"/>
              <w:spacing w:line="288" w:lineRule="auto"/>
              <w:jc w:val="center"/>
              <w:rPr>
                <w:rFonts w:ascii="宋体" w:hAnsi="宋体"/>
                <w:sz w:val="18"/>
                <w:szCs w:val="18"/>
              </w:rPr>
            </w:pPr>
          </w:p>
        </w:tc>
        <w:tc>
          <w:tcPr>
            <w:tcW w:w="567" w:type="dxa"/>
            <w:vAlign w:val="center"/>
          </w:tcPr>
          <w:p>
            <w:pPr>
              <w:snapToGrid w:val="0"/>
              <w:spacing w:line="288" w:lineRule="auto"/>
              <w:jc w:val="center"/>
              <w:rPr>
                <w:rFonts w:ascii="宋体" w:hAnsi="宋体"/>
                <w:sz w:val="18"/>
                <w:szCs w:val="18"/>
              </w:rPr>
            </w:pPr>
            <w:r>
              <w:rPr>
                <w:rFonts w:hint="eastAsia" w:ascii="宋体" w:hAnsi="宋体" w:cs="宋体"/>
                <w:b/>
                <w:sz w:val="18"/>
                <w:szCs w:val="18"/>
              </w:rPr>
              <w:t>68</w:t>
            </w:r>
          </w:p>
        </w:tc>
        <w:tc>
          <w:tcPr>
            <w:tcW w:w="425" w:type="dxa"/>
            <w:vAlign w:val="center"/>
          </w:tcPr>
          <w:p>
            <w:pPr>
              <w:snapToGrid w:val="0"/>
              <w:spacing w:line="288" w:lineRule="auto"/>
              <w:jc w:val="center"/>
              <w:rPr>
                <w:rFonts w:ascii="宋体" w:hAnsi="宋体"/>
                <w:sz w:val="18"/>
                <w:szCs w:val="18"/>
              </w:rPr>
            </w:pPr>
            <w:r>
              <w:rPr>
                <w:rFonts w:hint="eastAsia" w:ascii="宋体" w:hAnsi="宋体" w:cs="宋体"/>
                <w:b/>
                <w:sz w:val="18"/>
                <w:szCs w:val="18"/>
              </w:rPr>
              <w:t>28</w:t>
            </w:r>
          </w:p>
        </w:tc>
        <w:tc>
          <w:tcPr>
            <w:tcW w:w="488" w:type="dxa"/>
            <w:vAlign w:val="center"/>
          </w:tcPr>
          <w:p>
            <w:pPr>
              <w:snapToGrid w:val="0"/>
              <w:spacing w:line="288" w:lineRule="auto"/>
              <w:jc w:val="center"/>
              <w:rPr>
                <w:rFonts w:ascii="宋体" w:hAnsi="宋体"/>
                <w:sz w:val="18"/>
                <w:szCs w:val="18"/>
              </w:rPr>
            </w:pPr>
            <w:r>
              <w:rPr>
                <w:rFonts w:hint="eastAsia" w:ascii="宋体" w:hAnsi="宋体" w:cs="宋体"/>
                <w:b/>
                <w:sz w:val="18"/>
                <w:szCs w:val="18"/>
              </w:rPr>
              <w:t>96</w:t>
            </w:r>
          </w:p>
        </w:tc>
      </w:tr>
    </w:tbl>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七、课内实验名称及基本要求</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257"/>
        <w:gridCol w:w="2817"/>
        <w:gridCol w:w="939"/>
        <w:gridCol w:w="1083"/>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color w:val="000000" w:themeColor="text1"/>
                <w:sz w:val="20"/>
                <w:szCs w:val="20"/>
                <w14:textFill>
                  <w14:solidFill>
                    <w14:schemeClr w14:val="tx1"/>
                  </w14:solidFill>
                </w14:textFill>
              </w:rPr>
            </w:pPr>
            <w:r>
              <w:rPr>
                <w:rFonts w:hint="eastAsia" w:ascii="Times New Roman" w:hAnsi="Times New Roman"/>
                <w:b/>
                <w:szCs w:val="21"/>
              </w:rPr>
              <w:t>序号</w:t>
            </w:r>
          </w:p>
        </w:tc>
        <w:tc>
          <w:tcPr>
            <w:tcW w:w="2257"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color w:val="000000" w:themeColor="text1"/>
                <w:sz w:val="20"/>
                <w:szCs w:val="20"/>
                <w14:textFill>
                  <w14:solidFill>
                    <w14:schemeClr w14:val="tx1"/>
                  </w14:solidFill>
                </w14:textFill>
              </w:rPr>
            </w:pPr>
            <w:r>
              <w:rPr>
                <w:rFonts w:hint="eastAsia" w:ascii="Times New Roman" w:hAnsi="Times New Roman"/>
                <w:b/>
                <w:szCs w:val="21"/>
              </w:rPr>
              <w:t>实验名称</w:t>
            </w:r>
          </w:p>
        </w:tc>
        <w:tc>
          <w:tcPr>
            <w:tcW w:w="2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color w:val="000000" w:themeColor="text1"/>
                <w:sz w:val="20"/>
                <w:szCs w:val="20"/>
                <w14:textFill>
                  <w14:solidFill>
                    <w14:schemeClr w14:val="tx1"/>
                  </w14:solidFill>
                </w14:textFill>
              </w:rPr>
            </w:pPr>
            <w:r>
              <w:rPr>
                <w:rFonts w:hint="eastAsia" w:ascii="Times New Roman" w:hAnsi="Times New Roman"/>
                <w:b/>
                <w:szCs w:val="21"/>
              </w:rPr>
              <w:t>主要内容</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imes New Roman" w:hAnsi="Times New Roman"/>
                <w:b/>
                <w:szCs w:val="21"/>
              </w:rPr>
            </w:pPr>
            <w:r>
              <w:rPr>
                <w:rFonts w:hint="eastAsia" w:ascii="Times New Roman" w:hAnsi="Times New Roman"/>
                <w:b/>
                <w:szCs w:val="21"/>
              </w:rPr>
              <w:t>实验</w:t>
            </w:r>
          </w:p>
          <w:p>
            <w:pPr>
              <w:snapToGrid w:val="0"/>
              <w:spacing w:line="360" w:lineRule="atLeast"/>
              <w:jc w:val="center"/>
              <w:rPr>
                <w:rFonts w:ascii="宋体" w:hAnsi="宋体"/>
                <w:color w:val="000000" w:themeColor="text1"/>
                <w:sz w:val="20"/>
                <w:szCs w:val="20"/>
                <w14:textFill>
                  <w14:solidFill>
                    <w14:schemeClr w14:val="tx1"/>
                  </w14:solidFill>
                </w14:textFill>
              </w:rPr>
            </w:pPr>
            <w:r>
              <w:rPr>
                <w:rFonts w:hint="eastAsia" w:ascii="Times New Roman" w:hAnsi="Times New Roman"/>
                <w:b/>
                <w:szCs w:val="21"/>
              </w:rPr>
              <w:t>时数</w:t>
            </w:r>
          </w:p>
        </w:tc>
        <w:tc>
          <w:tcPr>
            <w:tcW w:w="1083" w:type="dxa"/>
            <w:tcBorders>
              <w:top w:val="single" w:color="auto" w:sz="4" w:space="0"/>
              <w:left w:val="single" w:color="auto" w:sz="4" w:space="0"/>
              <w:right w:val="single" w:color="auto" w:sz="4" w:space="0"/>
            </w:tcBorders>
            <w:vAlign w:val="center"/>
          </w:tcPr>
          <w:p>
            <w:pPr>
              <w:snapToGrid w:val="0"/>
              <w:spacing w:line="360" w:lineRule="atLeast"/>
              <w:jc w:val="center"/>
              <w:rPr>
                <w:rFonts w:ascii="宋体"/>
                <w:color w:val="000000" w:themeColor="text1"/>
                <w:sz w:val="20"/>
                <w:szCs w:val="20"/>
                <w14:textFill>
                  <w14:solidFill>
                    <w14:schemeClr w14:val="tx1"/>
                  </w14:solidFill>
                </w14:textFill>
              </w:rPr>
            </w:pPr>
            <w:r>
              <w:rPr>
                <w:rFonts w:hint="eastAsia" w:ascii="Times New Roman" w:hAnsi="Times New Roman"/>
                <w:b/>
                <w:szCs w:val="21"/>
              </w:rPr>
              <w:t>实验类型</w:t>
            </w:r>
          </w:p>
        </w:tc>
        <w:tc>
          <w:tcPr>
            <w:tcW w:w="563" w:type="dxa"/>
            <w:tcBorders>
              <w:top w:val="single" w:color="auto" w:sz="4" w:space="0"/>
              <w:left w:val="single" w:color="auto" w:sz="4" w:space="0"/>
              <w:right w:val="single" w:color="auto" w:sz="4" w:space="0"/>
            </w:tcBorders>
            <w:vAlign w:val="center"/>
          </w:tcPr>
          <w:p>
            <w:pPr>
              <w:snapToGrid w:val="0"/>
              <w:spacing w:line="360" w:lineRule="atLeast"/>
              <w:jc w:val="center"/>
              <w:rPr>
                <w:rFonts w:ascii="宋体"/>
                <w:color w:val="000000" w:themeColor="text1"/>
                <w:sz w:val="20"/>
                <w:szCs w:val="20"/>
                <w14:textFill>
                  <w14:solidFill>
                    <w14:schemeClr w14:val="tx1"/>
                  </w14:solidFill>
                </w14:textFill>
              </w:rPr>
            </w:pPr>
            <w:r>
              <w:rPr>
                <w:rFonts w:hint="eastAsia"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实训一</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 xml:space="preserve">外科手消毒                        穿、脱无菌手术衣及戴、脱无菌手套                     </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外科手消毒方法、步骤；</w:t>
            </w:r>
          </w:p>
          <w:p>
            <w:pPr>
              <w:jc w:val="left"/>
              <w:rPr>
                <w:rFonts w:ascii="宋体" w:hAnsi="宋体" w:cs="宋体"/>
                <w:sz w:val="20"/>
                <w:szCs w:val="20"/>
              </w:rPr>
            </w:pPr>
            <w:r>
              <w:rPr>
                <w:rFonts w:hint="eastAsia" w:ascii="宋体" w:hAnsi="宋体" w:cs="宋体"/>
                <w:sz w:val="20"/>
                <w:szCs w:val="20"/>
              </w:rPr>
              <w:t xml:space="preserve">穿无菌衣和戴手套方法、步骤           </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ascii="宋体" w:hAnsi="宋体" w:cs="宋体"/>
                <w:sz w:val="20"/>
                <w:szCs w:val="20"/>
              </w:rPr>
              <w:t>4</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1"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实训二</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围手术期的护理</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常用手术体位的安置</w:t>
            </w:r>
          </w:p>
          <w:p>
            <w:pPr>
              <w:jc w:val="left"/>
              <w:rPr>
                <w:rFonts w:ascii="宋体" w:hAnsi="宋体" w:cs="宋体"/>
                <w:sz w:val="20"/>
                <w:szCs w:val="20"/>
              </w:rPr>
            </w:pPr>
            <w:r>
              <w:rPr>
                <w:rFonts w:hint="eastAsia" w:ascii="宋体" w:hAnsi="宋体" w:cs="宋体"/>
                <w:sz w:val="20"/>
                <w:szCs w:val="20"/>
              </w:rPr>
              <w:t xml:space="preserve">手术区皮肤准备    </w:t>
            </w:r>
          </w:p>
          <w:p>
            <w:pPr>
              <w:jc w:val="left"/>
              <w:rPr>
                <w:rFonts w:ascii="宋体" w:hAnsi="宋体" w:cs="宋体"/>
                <w:sz w:val="20"/>
                <w:szCs w:val="20"/>
              </w:rPr>
            </w:pPr>
            <w:r>
              <w:rPr>
                <w:rFonts w:hint="eastAsia" w:ascii="宋体" w:hAnsi="宋体" w:cs="宋体"/>
                <w:sz w:val="20"/>
                <w:szCs w:val="20"/>
              </w:rPr>
              <w:t xml:space="preserve">手术区域铺巾      </w:t>
            </w:r>
          </w:p>
          <w:p>
            <w:pPr>
              <w:jc w:val="left"/>
              <w:rPr>
                <w:rFonts w:ascii="宋体" w:hAnsi="宋体" w:cs="宋体"/>
                <w:sz w:val="20"/>
                <w:szCs w:val="20"/>
              </w:rPr>
            </w:pPr>
            <w:r>
              <w:rPr>
                <w:rFonts w:hint="eastAsia" w:ascii="宋体" w:hAnsi="宋体" w:cs="宋体"/>
                <w:sz w:val="20"/>
                <w:szCs w:val="20"/>
              </w:rPr>
              <w:t xml:space="preserve">常用手术器械辨认      </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4</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实训三</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更换敷料                       清创缝合术</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一般换药的基本操作</w:t>
            </w:r>
          </w:p>
          <w:p>
            <w:pPr>
              <w:jc w:val="left"/>
              <w:rPr>
                <w:rFonts w:ascii="宋体" w:hAnsi="宋体" w:cs="宋体"/>
                <w:sz w:val="20"/>
                <w:szCs w:val="20"/>
              </w:rPr>
            </w:pPr>
            <w:r>
              <w:rPr>
                <w:rFonts w:hint="eastAsia" w:ascii="宋体" w:hAnsi="宋体" w:cs="宋体"/>
                <w:sz w:val="20"/>
                <w:szCs w:val="20"/>
              </w:rPr>
              <w:t>一般伤口的清创操作及缝合方法、步骤</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ascii="宋体" w:hAnsi="宋体" w:cs="宋体"/>
                <w:sz w:val="20"/>
                <w:szCs w:val="20"/>
              </w:rPr>
              <w:t>4</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实训四</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脑室引流病人的护理</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脑室引流的护理要点</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ascii="宋体" w:hAnsi="宋体" w:cs="宋体"/>
                <w:sz w:val="20"/>
                <w:szCs w:val="20"/>
              </w:rPr>
              <w:t>1</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实训五</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胸腔闭式引流病人的护理</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胸腔闭式引流的护理要点</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ascii="宋体" w:hAnsi="宋体" w:cs="宋体"/>
                <w:sz w:val="20"/>
                <w:szCs w:val="20"/>
              </w:rPr>
              <w:t>2</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实训六</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胃肠减压病人的护理</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胃肠减压的护理要点</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ascii="宋体" w:hAnsi="宋体" w:cs="宋体"/>
                <w:sz w:val="20"/>
                <w:szCs w:val="20"/>
              </w:rPr>
              <w:t>4</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实训七</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肠造口病人的护理</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肠造口的护理要点</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ascii="宋体" w:hAnsi="宋体" w:cs="宋体"/>
                <w:sz w:val="20"/>
                <w:szCs w:val="20"/>
              </w:rPr>
              <w:t>1</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实训八</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T形管引流病人的护理</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T形管引流的护理要点</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ascii="宋体" w:hAnsi="宋体" w:cs="宋体"/>
                <w:sz w:val="20"/>
                <w:szCs w:val="20"/>
              </w:rPr>
              <w:t>4</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实训九</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膀胱冲洗病人的护理</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膀胱冲洗的护理要点</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ascii="宋体" w:hAnsi="宋体" w:cs="宋体"/>
                <w:sz w:val="20"/>
                <w:szCs w:val="20"/>
              </w:rPr>
              <w:t>1</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sz w:val="20"/>
                <w:szCs w:val="20"/>
              </w:rPr>
              <w:t>实训十</w:t>
            </w:r>
          </w:p>
        </w:tc>
        <w:tc>
          <w:tcPr>
            <w:tcW w:w="22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骨折病人的搬运</w:t>
            </w:r>
          </w:p>
          <w:p>
            <w:pPr>
              <w:jc w:val="left"/>
              <w:rPr>
                <w:rFonts w:ascii="宋体" w:hAnsi="宋体" w:cs="宋体"/>
                <w:sz w:val="20"/>
                <w:szCs w:val="20"/>
              </w:rPr>
            </w:pPr>
            <w:r>
              <w:rPr>
                <w:rFonts w:hint="eastAsia" w:ascii="宋体" w:hAnsi="宋体" w:cs="宋体"/>
                <w:sz w:val="20"/>
                <w:szCs w:val="20"/>
              </w:rPr>
              <w:t xml:space="preserve">轴线翻身技术                小夹板固定病人的护理          </w:t>
            </w:r>
          </w:p>
          <w:p>
            <w:pPr>
              <w:jc w:val="left"/>
              <w:rPr>
                <w:rFonts w:ascii="宋体" w:hAnsi="宋体" w:cs="宋体"/>
                <w:sz w:val="20"/>
                <w:szCs w:val="20"/>
              </w:rPr>
            </w:pPr>
            <w:r>
              <w:rPr>
                <w:rFonts w:hint="eastAsia" w:ascii="宋体" w:hAnsi="宋体" w:cs="宋体"/>
                <w:sz w:val="20"/>
                <w:szCs w:val="20"/>
              </w:rPr>
              <w:t>牵引病人的护理</w:t>
            </w:r>
          </w:p>
        </w:tc>
        <w:tc>
          <w:tcPr>
            <w:tcW w:w="28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正确搬运病人</w:t>
            </w:r>
          </w:p>
          <w:p>
            <w:pPr>
              <w:jc w:val="left"/>
              <w:rPr>
                <w:rFonts w:ascii="宋体" w:hAnsi="宋体" w:cs="宋体"/>
                <w:sz w:val="20"/>
                <w:szCs w:val="20"/>
              </w:rPr>
            </w:pPr>
            <w:r>
              <w:rPr>
                <w:rFonts w:hint="eastAsia" w:ascii="宋体" w:hAnsi="宋体" w:cs="宋体"/>
                <w:sz w:val="20"/>
                <w:szCs w:val="20"/>
              </w:rPr>
              <w:t>轴线翻身技术</w:t>
            </w:r>
          </w:p>
          <w:p>
            <w:pPr>
              <w:jc w:val="left"/>
              <w:rPr>
                <w:rFonts w:ascii="宋体" w:hAnsi="宋体" w:cs="宋体"/>
                <w:sz w:val="20"/>
                <w:szCs w:val="20"/>
              </w:rPr>
            </w:pPr>
            <w:r>
              <w:rPr>
                <w:rFonts w:hint="eastAsia" w:ascii="宋体" w:hAnsi="宋体" w:cs="宋体"/>
                <w:sz w:val="20"/>
                <w:szCs w:val="20"/>
              </w:rPr>
              <w:t>小夹板固定护理要点</w:t>
            </w:r>
          </w:p>
          <w:p>
            <w:pPr>
              <w:jc w:val="left"/>
              <w:rPr>
                <w:rFonts w:ascii="宋体" w:hAnsi="宋体" w:cs="宋体"/>
                <w:sz w:val="20"/>
                <w:szCs w:val="20"/>
              </w:rPr>
            </w:pPr>
            <w:r>
              <w:rPr>
                <w:rFonts w:hint="eastAsia" w:ascii="宋体" w:hAnsi="宋体" w:cs="宋体"/>
                <w:sz w:val="20"/>
                <w:szCs w:val="20"/>
              </w:rPr>
              <w:t xml:space="preserve">牵引的护理要点              </w:t>
            </w:r>
          </w:p>
        </w:tc>
        <w:tc>
          <w:tcPr>
            <w:tcW w:w="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3</w:t>
            </w:r>
          </w:p>
        </w:tc>
        <w:tc>
          <w:tcPr>
            <w:tcW w:w="1083" w:type="dxa"/>
            <w:tcBorders>
              <w:left w:val="single" w:color="auto" w:sz="4" w:space="0"/>
              <w:right w:val="single" w:color="auto" w:sz="4" w:space="0"/>
            </w:tcBorders>
            <w:vAlign w:val="center"/>
          </w:tcPr>
          <w:p>
            <w:pPr>
              <w:snapToGrid w:val="0"/>
              <w:jc w:val="center"/>
              <w:rPr>
                <w:rFonts w:ascii="宋体" w:hAnsi="宋体" w:cs="宋体"/>
                <w:sz w:val="20"/>
                <w:szCs w:val="20"/>
              </w:rPr>
            </w:pPr>
            <w:r>
              <w:rPr>
                <w:rFonts w:hint="eastAsia" w:ascii="宋体" w:hAnsi="宋体" w:cs="宋体"/>
                <w:sz w:val="20"/>
                <w:szCs w:val="20"/>
              </w:rPr>
              <w:t>综合型</w:t>
            </w:r>
          </w:p>
        </w:tc>
        <w:tc>
          <w:tcPr>
            <w:tcW w:w="563" w:type="dxa"/>
            <w:tcBorders>
              <w:left w:val="single" w:color="auto" w:sz="4" w:space="0"/>
              <w:right w:val="single" w:color="auto" w:sz="4" w:space="0"/>
            </w:tcBorders>
            <w:vAlign w:val="center"/>
          </w:tcPr>
          <w:p>
            <w:pPr>
              <w:snapToGrid w:val="0"/>
              <w:jc w:val="lef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exac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cs="宋体"/>
                <w:sz w:val="20"/>
                <w:szCs w:val="20"/>
              </w:rPr>
            </w:pPr>
            <w:r>
              <w:rPr>
                <w:rFonts w:hint="eastAsia" w:ascii="宋体" w:hAnsi="宋体" w:cs="宋体"/>
                <w:b/>
                <w:sz w:val="20"/>
                <w:szCs w:val="20"/>
              </w:rPr>
              <w:t>合计</w:t>
            </w:r>
          </w:p>
        </w:tc>
        <w:tc>
          <w:tcPr>
            <w:tcW w:w="2257"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cs="宋体"/>
                <w:sz w:val="20"/>
                <w:szCs w:val="20"/>
              </w:rPr>
            </w:pPr>
          </w:p>
        </w:tc>
        <w:tc>
          <w:tcPr>
            <w:tcW w:w="2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cs="宋体"/>
                <w:sz w:val="20"/>
                <w:szCs w:val="20"/>
              </w:rPr>
            </w:pPr>
          </w:p>
        </w:tc>
        <w:tc>
          <w:tcPr>
            <w:tcW w:w="939"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cs="宋体"/>
                <w:sz w:val="20"/>
                <w:szCs w:val="20"/>
              </w:rPr>
            </w:pPr>
            <w:r>
              <w:rPr>
                <w:rFonts w:hint="eastAsia" w:ascii="宋体" w:hAnsi="宋体" w:cs="宋体"/>
                <w:b/>
                <w:sz w:val="20"/>
                <w:szCs w:val="20"/>
              </w:rPr>
              <w:t>28</w:t>
            </w:r>
          </w:p>
        </w:tc>
        <w:tc>
          <w:tcPr>
            <w:tcW w:w="1083" w:type="dxa"/>
            <w:tcBorders>
              <w:left w:val="single" w:color="auto" w:sz="4" w:space="0"/>
              <w:right w:val="single" w:color="auto" w:sz="4" w:space="0"/>
            </w:tcBorders>
            <w:vAlign w:val="center"/>
          </w:tcPr>
          <w:p>
            <w:pPr>
              <w:snapToGrid w:val="0"/>
              <w:spacing w:line="360" w:lineRule="atLeast"/>
              <w:jc w:val="center"/>
              <w:rPr>
                <w:rFonts w:ascii="宋体" w:hAnsi="宋体" w:cs="宋体"/>
                <w:sz w:val="20"/>
                <w:szCs w:val="20"/>
              </w:rPr>
            </w:pPr>
          </w:p>
        </w:tc>
        <w:tc>
          <w:tcPr>
            <w:tcW w:w="563" w:type="dxa"/>
            <w:tcBorders>
              <w:left w:val="single" w:color="auto" w:sz="4" w:space="0"/>
              <w:right w:val="single" w:color="auto" w:sz="4" w:space="0"/>
            </w:tcBorders>
            <w:vAlign w:val="center"/>
          </w:tcPr>
          <w:p>
            <w:pPr>
              <w:snapToGrid w:val="0"/>
              <w:spacing w:line="360" w:lineRule="atLeast"/>
              <w:jc w:val="center"/>
              <w:rPr>
                <w:rFonts w:ascii="宋体" w:hAnsi="宋体" w:cs="宋体"/>
                <w:sz w:val="20"/>
                <w:szCs w:val="20"/>
              </w:rPr>
            </w:pPr>
          </w:p>
        </w:tc>
      </w:tr>
    </w:tbl>
    <w:p>
      <w:pPr>
        <w:snapToGrid w:val="0"/>
        <w:spacing w:line="288" w:lineRule="auto"/>
        <w:ind w:right="2520"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 xml:space="preserve">   </w:t>
      </w:r>
    </w:p>
    <w:p>
      <w:pPr>
        <w:snapToGrid w:val="0"/>
        <w:spacing w:line="288" w:lineRule="auto"/>
        <w:ind w:right="2520" w:firstLine="480" w:firstLineChars="200"/>
        <w:rPr>
          <w:sz w:val="20"/>
          <w:szCs w:val="20"/>
        </w:rPr>
      </w:pPr>
      <w:r>
        <w:rPr>
          <w:rFonts w:hint="eastAsia" w:ascii="黑体" w:hAnsi="宋体" w:eastAsia="黑体"/>
          <w:color w:val="000000" w:themeColor="text1"/>
          <w:sz w:val="24"/>
          <w14:textFill>
            <w14:solidFill>
              <w14:schemeClr w14:val="tx1"/>
            </w14:solidFill>
          </w14:textFill>
        </w:rPr>
        <w:t>八、评价方式与成绩</w:t>
      </w:r>
    </w:p>
    <w:tbl>
      <w:tblPr>
        <w:tblStyle w:val="8"/>
        <w:tblpPr w:leftFromText="180" w:rightFromText="180" w:vertAnchor="text" w:horzAnchor="margin" w:tblpXSpec="center" w:tblpY="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812"/>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705" w:type="dxa"/>
          </w:tcPr>
          <w:p>
            <w:pPr>
              <w:snapToGrid w:val="0"/>
              <w:spacing w:before="156" w:beforeLines="50" w:after="156" w:afterLines="50"/>
              <w:rPr>
                <w:rFonts w:ascii="宋体" w:hAnsi="宋体"/>
                <w:b/>
                <w:color w:val="000000"/>
                <w:szCs w:val="20"/>
              </w:rPr>
            </w:pPr>
            <w:r>
              <w:rPr>
                <w:rFonts w:hint="eastAsia" w:ascii="宋体" w:hAnsi="宋体"/>
                <w:b/>
                <w:color w:val="000000"/>
                <w:szCs w:val="20"/>
              </w:rPr>
              <w:t>总评构成（1+</w:t>
            </w:r>
            <w:r>
              <w:rPr>
                <w:rFonts w:ascii="宋体" w:hAnsi="宋体"/>
                <w:b/>
                <w:color w:val="000000"/>
                <w:szCs w:val="20"/>
              </w:rPr>
              <w:t>X</w:t>
            </w:r>
            <w:r>
              <w:rPr>
                <w:rFonts w:hint="eastAsia" w:ascii="宋体" w:hAnsi="宋体"/>
                <w:b/>
                <w:color w:val="000000"/>
                <w:szCs w:val="20"/>
              </w:rPr>
              <w:t>）</w:t>
            </w:r>
          </w:p>
        </w:tc>
        <w:tc>
          <w:tcPr>
            <w:tcW w:w="4812" w:type="dxa"/>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评价方式</w:t>
            </w:r>
          </w:p>
        </w:tc>
        <w:tc>
          <w:tcPr>
            <w:tcW w:w="2005" w:type="dxa"/>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p>
        </w:tc>
        <w:tc>
          <w:tcPr>
            <w:tcW w:w="4812"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期末闭卷考试</w:t>
            </w:r>
          </w:p>
        </w:tc>
        <w:tc>
          <w:tcPr>
            <w:tcW w:w="2005" w:type="dxa"/>
          </w:tcPr>
          <w:p>
            <w:pPr>
              <w:widowControl/>
              <w:spacing w:line="360" w:lineRule="auto"/>
              <w:jc w:val="center"/>
              <w:rPr>
                <w:rFonts w:ascii="宋体" w:hAnsi="宋体" w:cs="Arial"/>
                <w:kern w:val="0"/>
                <w:sz w:val="20"/>
                <w:szCs w:val="20"/>
              </w:rPr>
            </w:pPr>
            <w:r>
              <w:rPr>
                <w:rFonts w:ascii="宋体" w:hAnsi="宋体" w:cs="Arial"/>
                <w:kern w:val="0"/>
                <w:sz w:val="20"/>
                <w:szCs w:val="20"/>
              </w:rPr>
              <w:t>6</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X1</w:t>
            </w:r>
          </w:p>
        </w:tc>
        <w:tc>
          <w:tcPr>
            <w:tcW w:w="4812"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阶段测验</w:t>
            </w:r>
          </w:p>
        </w:tc>
        <w:tc>
          <w:tcPr>
            <w:tcW w:w="2005" w:type="dxa"/>
          </w:tcPr>
          <w:p>
            <w:pPr>
              <w:widowControl/>
              <w:spacing w:line="360" w:lineRule="auto"/>
              <w:jc w:val="center"/>
              <w:rPr>
                <w:rFonts w:ascii="宋体" w:hAnsi="宋体" w:cs="Arial"/>
                <w:kern w:val="0"/>
                <w:sz w:val="20"/>
                <w:szCs w:val="20"/>
              </w:rPr>
            </w:pPr>
            <w:r>
              <w:rPr>
                <w:rFonts w:ascii="宋体" w:hAnsi="宋体" w:cs="Arial"/>
                <w:kern w:val="0"/>
                <w:sz w:val="20"/>
                <w:szCs w:val="20"/>
              </w:rPr>
              <w:t>20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X</w:t>
            </w:r>
            <w:r>
              <w:rPr>
                <w:rFonts w:ascii="宋体" w:hAnsi="宋体" w:cs="Arial"/>
                <w:kern w:val="0"/>
                <w:sz w:val="20"/>
                <w:szCs w:val="20"/>
              </w:rPr>
              <w:t>2</w:t>
            </w:r>
          </w:p>
        </w:tc>
        <w:tc>
          <w:tcPr>
            <w:tcW w:w="4812"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实训报告</w:t>
            </w:r>
          </w:p>
        </w:tc>
        <w:tc>
          <w:tcPr>
            <w:tcW w:w="2005" w:type="dxa"/>
          </w:tcPr>
          <w:p>
            <w:pPr>
              <w:widowControl/>
              <w:spacing w:line="360" w:lineRule="auto"/>
              <w:jc w:val="center"/>
              <w:rPr>
                <w:rFonts w:ascii="宋体" w:hAnsi="宋体" w:cs="Arial"/>
                <w:kern w:val="0"/>
                <w:sz w:val="20"/>
                <w:szCs w:val="20"/>
              </w:rPr>
            </w:pPr>
            <w:r>
              <w:rPr>
                <w:rFonts w:ascii="宋体" w:hAnsi="宋体" w:cs="Arial"/>
                <w:kern w:val="0"/>
                <w:sz w:val="20"/>
                <w:szCs w:val="20"/>
              </w:rPr>
              <w:t>10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X</w:t>
            </w:r>
            <w:r>
              <w:rPr>
                <w:rFonts w:ascii="宋体" w:hAnsi="宋体" w:cs="Arial"/>
                <w:kern w:val="0"/>
                <w:sz w:val="20"/>
                <w:szCs w:val="20"/>
              </w:rPr>
              <w:t>3</w:t>
            </w:r>
          </w:p>
        </w:tc>
        <w:tc>
          <w:tcPr>
            <w:tcW w:w="4812"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课堂表现</w:t>
            </w:r>
          </w:p>
        </w:tc>
        <w:tc>
          <w:tcPr>
            <w:tcW w:w="2005" w:type="dxa"/>
          </w:tcPr>
          <w:p>
            <w:pPr>
              <w:widowControl/>
              <w:spacing w:line="360" w:lineRule="auto"/>
              <w:jc w:val="center"/>
              <w:rPr>
                <w:rFonts w:ascii="宋体" w:hAnsi="宋体" w:cs="Arial"/>
                <w:kern w:val="0"/>
                <w:sz w:val="20"/>
                <w:szCs w:val="20"/>
              </w:rPr>
            </w:pPr>
            <w:r>
              <w:rPr>
                <w:rFonts w:ascii="宋体" w:hAnsi="宋体" w:cs="Arial"/>
                <w:kern w:val="0"/>
                <w:sz w:val="20"/>
                <w:szCs w:val="20"/>
              </w:rPr>
              <w:t>10</w:t>
            </w:r>
            <w:r>
              <w:rPr>
                <w:rFonts w:hint="eastAsia" w:ascii="宋体" w:hAnsi="宋体" w:cs="Arial"/>
                <w:kern w:val="0"/>
                <w:sz w:val="20"/>
                <w:szCs w:val="20"/>
              </w:rPr>
              <w:t>%</w:t>
            </w:r>
          </w:p>
        </w:tc>
      </w:tr>
    </w:tbl>
    <w:p>
      <w:pPr>
        <w:tabs>
          <w:tab w:val="left" w:pos="3210"/>
          <w:tab w:val="left" w:pos="7560"/>
        </w:tabs>
        <w:spacing w:before="62" w:beforeLines="20" w:line="360" w:lineRule="auto"/>
        <w:outlineLvl w:val="0"/>
        <w:rPr>
          <w:rFonts w:ascii="宋体" w:hAnsi="宋体" w:cs="宋体"/>
          <w:color w:val="000000"/>
          <w:position w:val="-20"/>
          <w:sz w:val="24"/>
          <w:szCs w:val="24"/>
        </w:rPr>
      </w:pPr>
    </w:p>
    <w:p>
      <w:pPr>
        <w:tabs>
          <w:tab w:val="left" w:pos="3210"/>
          <w:tab w:val="left" w:pos="7560"/>
        </w:tabs>
        <w:spacing w:before="62" w:beforeLines="20" w:line="360" w:lineRule="auto"/>
        <w:ind w:firstLine="560" w:firstLineChars="200"/>
        <w:outlineLvl w:val="0"/>
        <w:rPr>
          <w:rFonts w:ascii="宋体" w:hAnsi="宋体" w:cs="宋体"/>
          <w:color w:val="000000"/>
          <w:position w:val="-20"/>
          <w:sz w:val="24"/>
          <w:szCs w:val="24"/>
        </w:rPr>
      </w:pPr>
      <w:r>
        <w:rPr>
          <w:sz w:val="28"/>
          <w:szCs w:val="28"/>
        </w:rPr>
        <w:drawing>
          <wp:anchor distT="0" distB="0" distL="114300" distR="114300" simplePos="0" relativeHeight="251661312" behindDoc="0" locked="0" layoutInCell="1" allowOverlap="1">
            <wp:simplePos x="0" y="0"/>
            <wp:positionH relativeFrom="column">
              <wp:posOffset>1004570</wp:posOffset>
            </wp:positionH>
            <wp:positionV relativeFrom="paragraph">
              <wp:posOffset>85725</wp:posOffset>
            </wp:positionV>
            <wp:extent cx="572770" cy="276860"/>
            <wp:effectExtent l="0" t="0" r="0"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2770" cy="277149"/>
                    </a:xfrm>
                    <a:prstGeom prst="rect">
                      <a:avLst/>
                    </a:prstGeom>
                    <a:noFill/>
                    <a:ln>
                      <a:noFill/>
                    </a:ln>
                  </pic:spPr>
                </pic:pic>
              </a:graphicData>
            </a:graphic>
          </wp:anchor>
        </w:drawing>
      </w:r>
      <w:r>
        <w:rPr>
          <w:rFonts w:hint="eastAsia" w:ascii="宋体" w:hAnsi="宋体" w:cs="宋体"/>
          <w:color w:val="000000"/>
          <w:position w:val="-20"/>
          <w:sz w:val="24"/>
          <w:szCs w:val="24"/>
        </w:rPr>
        <w:t>撰写人：                       系主任审核签名：</w:t>
      </w:r>
      <w:bookmarkStart w:id="3" w:name="_GoBack"/>
      <w:r>
        <w:rPr>
          <w:rFonts w:ascii="宋体" w:hAnsi="宋体" w:cs="宋体"/>
          <w:color w:val="000000"/>
          <w:position w:val="-20"/>
          <w:sz w:val="24"/>
          <w:szCs w:val="24"/>
        </w:rPr>
        <w:drawing>
          <wp:inline distT="0" distB="0" distL="114300" distR="114300">
            <wp:extent cx="797560" cy="343535"/>
            <wp:effectExtent l="0" t="0" r="15240" b="12065"/>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海英"/>
                    <pic:cNvPicPr>
                      <a:picLocks noChangeAspect="1"/>
                    </pic:cNvPicPr>
                  </pic:nvPicPr>
                  <pic:blipFill>
                    <a:blip r:embed="rId5"/>
                    <a:stretch>
                      <a:fillRect/>
                    </a:stretch>
                  </pic:blipFill>
                  <pic:spPr>
                    <a:xfrm>
                      <a:off x="0" y="0"/>
                      <a:ext cx="797560" cy="343535"/>
                    </a:xfrm>
                    <a:prstGeom prst="rect">
                      <a:avLst/>
                    </a:prstGeom>
                  </pic:spPr>
                </pic:pic>
              </a:graphicData>
            </a:graphic>
          </wp:inline>
        </w:drawing>
      </w:r>
      <w:bookmarkEnd w:id="3"/>
    </w:p>
    <w:p>
      <w:pPr>
        <w:tabs>
          <w:tab w:val="left" w:pos="3210"/>
          <w:tab w:val="left" w:pos="7560"/>
        </w:tabs>
        <w:spacing w:before="62" w:beforeLines="20" w:line="360" w:lineRule="auto"/>
        <w:ind w:firstLine="480" w:firstLineChars="200"/>
        <w:outlineLvl w:val="0"/>
        <w:rPr>
          <w:sz w:val="28"/>
          <w:szCs w:val="28"/>
        </w:rPr>
      </w:pPr>
      <w:r>
        <w:rPr>
          <w:rFonts w:hint="eastAsia" w:ascii="宋体" w:hAnsi="宋体" w:cs="宋体"/>
          <w:color w:val="000000"/>
          <w:position w:val="-20"/>
          <w:sz w:val="24"/>
          <w:szCs w:val="24"/>
        </w:rPr>
        <w:t>审核时间： 202</w:t>
      </w:r>
      <w:r>
        <w:rPr>
          <w:rFonts w:ascii="宋体" w:hAnsi="宋体" w:cs="宋体"/>
          <w:color w:val="000000"/>
          <w:position w:val="-20"/>
          <w:sz w:val="24"/>
          <w:szCs w:val="24"/>
        </w:rPr>
        <w:t>8</w:t>
      </w:r>
      <w:r>
        <w:rPr>
          <w:rFonts w:hint="eastAsia" w:ascii="宋体" w:hAnsi="宋体" w:cs="宋体"/>
          <w:color w:val="000000"/>
          <w:position w:val="-20"/>
          <w:sz w:val="24"/>
          <w:szCs w:val="24"/>
        </w:rPr>
        <w:t>年</w:t>
      </w:r>
      <w:r>
        <w:rPr>
          <w:rFonts w:ascii="宋体" w:hAnsi="宋体" w:cs="宋体"/>
          <w:color w:val="000000"/>
          <w:position w:val="-20"/>
          <w:sz w:val="24"/>
          <w:szCs w:val="24"/>
        </w:rPr>
        <w:t>8</w:t>
      </w:r>
      <w:r>
        <w:rPr>
          <w:rFonts w:hint="eastAsia" w:ascii="宋体" w:hAnsi="宋体" w:cs="宋体"/>
          <w:color w:val="000000"/>
          <w:position w:val="-20"/>
          <w:sz w:val="24"/>
          <w:szCs w:val="24"/>
        </w:rPr>
        <w:t xml:space="preserve">月24日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7C"/>
    <w:rsid w:val="00000EC6"/>
    <w:rsid w:val="00002368"/>
    <w:rsid w:val="000023F3"/>
    <w:rsid w:val="00003323"/>
    <w:rsid w:val="00004917"/>
    <w:rsid w:val="00011E29"/>
    <w:rsid w:val="00012D80"/>
    <w:rsid w:val="00015396"/>
    <w:rsid w:val="000208F2"/>
    <w:rsid w:val="000212DA"/>
    <w:rsid w:val="00044868"/>
    <w:rsid w:val="00061C07"/>
    <w:rsid w:val="000730FF"/>
    <w:rsid w:val="0007570F"/>
    <w:rsid w:val="000951EB"/>
    <w:rsid w:val="000974FF"/>
    <w:rsid w:val="000A18E5"/>
    <w:rsid w:val="000A1DDE"/>
    <w:rsid w:val="000A337B"/>
    <w:rsid w:val="000A51E5"/>
    <w:rsid w:val="000A58C8"/>
    <w:rsid w:val="000A6977"/>
    <w:rsid w:val="000C0466"/>
    <w:rsid w:val="000D0437"/>
    <w:rsid w:val="000D051F"/>
    <w:rsid w:val="000D487F"/>
    <w:rsid w:val="000D76B7"/>
    <w:rsid w:val="000E05BE"/>
    <w:rsid w:val="000F131B"/>
    <w:rsid w:val="000F492A"/>
    <w:rsid w:val="000F541E"/>
    <w:rsid w:val="000F55D9"/>
    <w:rsid w:val="00101348"/>
    <w:rsid w:val="001101E7"/>
    <w:rsid w:val="001141C3"/>
    <w:rsid w:val="001203C7"/>
    <w:rsid w:val="00120524"/>
    <w:rsid w:val="0012237F"/>
    <w:rsid w:val="00123B9A"/>
    <w:rsid w:val="00125E1F"/>
    <w:rsid w:val="00132330"/>
    <w:rsid w:val="0013686D"/>
    <w:rsid w:val="00150479"/>
    <w:rsid w:val="001631E6"/>
    <w:rsid w:val="00165C15"/>
    <w:rsid w:val="00165DB7"/>
    <w:rsid w:val="00167DF5"/>
    <w:rsid w:val="00171027"/>
    <w:rsid w:val="00182F7E"/>
    <w:rsid w:val="00186CF4"/>
    <w:rsid w:val="00191C15"/>
    <w:rsid w:val="001A109D"/>
    <w:rsid w:val="001A33B7"/>
    <w:rsid w:val="001A5418"/>
    <w:rsid w:val="001D135D"/>
    <w:rsid w:val="001D28C4"/>
    <w:rsid w:val="001D6FC2"/>
    <w:rsid w:val="001E3408"/>
    <w:rsid w:val="001E6670"/>
    <w:rsid w:val="001F0871"/>
    <w:rsid w:val="00200EFF"/>
    <w:rsid w:val="002034B9"/>
    <w:rsid w:val="00204736"/>
    <w:rsid w:val="00205FD1"/>
    <w:rsid w:val="0021042A"/>
    <w:rsid w:val="002109A5"/>
    <w:rsid w:val="00213CDE"/>
    <w:rsid w:val="00217E97"/>
    <w:rsid w:val="00222809"/>
    <w:rsid w:val="002260CB"/>
    <w:rsid w:val="002267DE"/>
    <w:rsid w:val="00227630"/>
    <w:rsid w:val="00227CB1"/>
    <w:rsid w:val="00231FD7"/>
    <w:rsid w:val="00232DB1"/>
    <w:rsid w:val="00234D5A"/>
    <w:rsid w:val="002376CD"/>
    <w:rsid w:val="00242723"/>
    <w:rsid w:val="002448A0"/>
    <w:rsid w:val="00257931"/>
    <w:rsid w:val="00264696"/>
    <w:rsid w:val="0027041A"/>
    <w:rsid w:val="002717AA"/>
    <w:rsid w:val="002755FB"/>
    <w:rsid w:val="00277F6D"/>
    <w:rsid w:val="00293A31"/>
    <w:rsid w:val="002A468A"/>
    <w:rsid w:val="002A5697"/>
    <w:rsid w:val="002A5BE0"/>
    <w:rsid w:val="002B580A"/>
    <w:rsid w:val="002C128E"/>
    <w:rsid w:val="002C284E"/>
    <w:rsid w:val="002C7CEF"/>
    <w:rsid w:val="002D1EE1"/>
    <w:rsid w:val="002E4620"/>
    <w:rsid w:val="003004C8"/>
    <w:rsid w:val="00324D4C"/>
    <w:rsid w:val="003315EC"/>
    <w:rsid w:val="00332FD2"/>
    <w:rsid w:val="003330C8"/>
    <w:rsid w:val="00333E36"/>
    <w:rsid w:val="003372A9"/>
    <w:rsid w:val="00342388"/>
    <w:rsid w:val="00344266"/>
    <w:rsid w:val="003445D8"/>
    <w:rsid w:val="00344A82"/>
    <w:rsid w:val="00345995"/>
    <w:rsid w:val="00345CE4"/>
    <w:rsid w:val="0034671D"/>
    <w:rsid w:val="00362A5F"/>
    <w:rsid w:val="0036553D"/>
    <w:rsid w:val="003716C4"/>
    <w:rsid w:val="003759A9"/>
    <w:rsid w:val="00380699"/>
    <w:rsid w:val="003809F3"/>
    <w:rsid w:val="003A31BF"/>
    <w:rsid w:val="003A6F7C"/>
    <w:rsid w:val="003B0026"/>
    <w:rsid w:val="003B2831"/>
    <w:rsid w:val="003B555A"/>
    <w:rsid w:val="003C23F8"/>
    <w:rsid w:val="003D315F"/>
    <w:rsid w:val="003D3B22"/>
    <w:rsid w:val="003E4D39"/>
    <w:rsid w:val="003F166B"/>
    <w:rsid w:val="00403871"/>
    <w:rsid w:val="0040390C"/>
    <w:rsid w:val="00405DAC"/>
    <w:rsid w:val="0040752A"/>
    <w:rsid w:val="00425E90"/>
    <w:rsid w:val="00426AEF"/>
    <w:rsid w:val="00426D2A"/>
    <w:rsid w:val="004329E7"/>
    <w:rsid w:val="00436A5C"/>
    <w:rsid w:val="004374BC"/>
    <w:rsid w:val="004409C8"/>
    <w:rsid w:val="00441085"/>
    <w:rsid w:val="00442780"/>
    <w:rsid w:val="00454FEC"/>
    <w:rsid w:val="00456E14"/>
    <w:rsid w:val="00462E82"/>
    <w:rsid w:val="00465FC6"/>
    <w:rsid w:val="00472671"/>
    <w:rsid w:val="00480326"/>
    <w:rsid w:val="00482385"/>
    <w:rsid w:val="00491E8E"/>
    <w:rsid w:val="004A74B3"/>
    <w:rsid w:val="004B1A75"/>
    <w:rsid w:val="004B5BDC"/>
    <w:rsid w:val="004B6227"/>
    <w:rsid w:val="004B6F3A"/>
    <w:rsid w:val="004C7C8B"/>
    <w:rsid w:val="004D0916"/>
    <w:rsid w:val="004D2038"/>
    <w:rsid w:val="004D522A"/>
    <w:rsid w:val="004E4956"/>
    <w:rsid w:val="004F02C7"/>
    <w:rsid w:val="004F634A"/>
    <w:rsid w:val="00504162"/>
    <w:rsid w:val="00504A81"/>
    <w:rsid w:val="00506871"/>
    <w:rsid w:val="00506CD6"/>
    <w:rsid w:val="00513CC8"/>
    <w:rsid w:val="00514182"/>
    <w:rsid w:val="00515605"/>
    <w:rsid w:val="00515848"/>
    <w:rsid w:val="00517D66"/>
    <w:rsid w:val="005261C2"/>
    <w:rsid w:val="00526755"/>
    <w:rsid w:val="00530F1D"/>
    <w:rsid w:val="00532868"/>
    <w:rsid w:val="00533CCE"/>
    <w:rsid w:val="00534A73"/>
    <w:rsid w:val="00535EEC"/>
    <w:rsid w:val="005370E8"/>
    <w:rsid w:val="00537B2C"/>
    <w:rsid w:val="005403C0"/>
    <w:rsid w:val="00564AA3"/>
    <w:rsid w:val="00567FF1"/>
    <w:rsid w:val="0057351C"/>
    <w:rsid w:val="00574A93"/>
    <w:rsid w:val="00583D3D"/>
    <w:rsid w:val="00584B7D"/>
    <w:rsid w:val="00590CC7"/>
    <w:rsid w:val="00591BEF"/>
    <w:rsid w:val="0059427C"/>
    <w:rsid w:val="00594DFB"/>
    <w:rsid w:val="00595272"/>
    <w:rsid w:val="005A2424"/>
    <w:rsid w:val="005A2FDD"/>
    <w:rsid w:val="005A4155"/>
    <w:rsid w:val="005A5C52"/>
    <w:rsid w:val="005A7A30"/>
    <w:rsid w:val="005B28EE"/>
    <w:rsid w:val="005B5180"/>
    <w:rsid w:val="005B6809"/>
    <w:rsid w:val="005C272E"/>
    <w:rsid w:val="005C2ADB"/>
    <w:rsid w:val="005C36B4"/>
    <w:rsid w:val="005C38EF"/>
    <w:rsid w:val="005C5510"/>
    <w:rsid w:val="005D2482"/>
    <w:rsid w:val="005D55C6"/>
    <w:rsid w:val="005E7364"/>
    <w:rsid w:val="005F0B73"/>
    <w:rsid w:val="005F2C05"/>
    <w:rsid w:val="005F2D5C"/>
    <w:rsid w:val="005F335D"/>
    <w:rsid w:val="00600385"/>
    <w:rsid w:val="006108A6"/>
    <w:rsid w:val="00612B3B"/>
    <w:rsid w:val="00613A4D"/>
    <w:rsid w:val="006151D7"/>
    <w:rsid w:val="006422F9"/>
    <w:rsid w:val="00642CD3"/>
    <w:rsid w:val="00646894"/>
    <w:rsid w:val="00650CF6"/>
    <w:rsid w:val="00655B61"/>
    <w:rsid w:val="006672FE"/>
    <w:rsid w:val="00674B75"/>
    <w:rsid w:val="0068689A"/>
    <w:rsid w:val="006B0A70"/>
    <w:rsid w:val="006B3089"/>
    <w:rsid w:val="006B4DB8"/>
    <w:rsid w:val="006C323B"/>
    <w:rsid w:val="006C46BC"/>
    <w:rsid w:val="006C48D7"/>
    <w:rsid w:val="006C7CBF"/>
    <w:rsid w:val="006D2F1D"/>
    <w:rsid w:val="006D43DE"/>
    <w:rsid w:val="006D78EA"/>
    <w:rsid w:val="006E1633"/>
    <w:rsid w:val="006F25A0"/>
    <w:rsid w:val="006F4000"/>
    <w:rsid w:val="006F6132"/>
    <w:rsid w:val="006F6622"/>
    <w:rsid w:val="007022CE"/>
    <w:rsid w:val="0070793B"/>
    <w:rsid w:val="00712867"/>
    <w:rsid w:val="00722B8B"/>
    <w:rsid w:val="0072325E"/>
    <w:rsid w:val="0072526A"/>
    <w:rsid w:val="00727228"/>
    <w:rsid w:val="00730FA4"/>
    <w:rsid w:val="00743025"/>
    <w:rsid w:val="00760C30"/>
    <w:rsid w:val="007647B2"/>
    <w:rsid w:val="00766145"/>
    <w:rsid w:val="00770052"/>
    <w:rsid w:val="00773A06"/>
    <w:rsid w:val="0078369A"/>
    <w:rsid w:val="00783E95"/>
    <w:rsid w:val="00785A10"/>
    <w:rsid w:val="0078600C"/>
    <w:rsid w:val="00792CD5"/>
    <w:rsid w:val="007A2C4E"/>
    <w:rsid w:val="007A5B57"/>
    <w:rsid w:val="007B09B6"/>
    <w:rsid w:val="007B4B84"/>
    <w:rsid w:val="007B7775"/>
    <w:rsid w:val="007C2E47"/>
    <w:rsid w:val="007C7FFA"/>
    <w:rsid w:val="007D41A3"/>
    <w:rsid w:val="007E386B"/>
    <w:rsid w:val="007E7B46"/>
    <w:rsid w:val="007F2DFE"/>
    <w:rsid w:val="007F6E93"/>
    <w:rsid w:val="007F7EBC"/>
    <w:rsid w:val="00810EE4"/>
    <w:rsid w:val="00820202"/>
    <w:rsid w:val="00822777"/>
    <w:rsid w:val="00823A8A"/>
    <w:rsid w:val="0083387B"/>
    <w:rsid w:val="00841AE3"/>
    <w:rsid w:val="008472C0"/>
    <w:rsid w:val="008507D8"/>
    <w:rsid w:val="00853DD0"/>
    <w:rsid w:val="008617D4"/>
    <w:rsid w:val="00864CB2"/>
    <w:rsid w:val="00866F10"/>
    <w:rsid w:val="00874FC8"/>
    <w:rsid w:val="00881436"/>
    <w:rsid w:val="00891006"/>
    <w:rsid w:val="00891444"/>
    <w:rsid w:val="00896BDB"/>
    <w:rsid w:val="00896E79"/>
    <w:rsid w:val="008A58D1"/>
    <w:rsid w:val="008B1B41"/>
    <w:rsid w:val="008B584A"/>
    <w:rsid w:val="008B72DC"/>
    <w:rsid w:val="008C0257"/>
    <w:rsid w:val="008C3416"/>
    <w:rsid w:val="008C5A7D"/>
    <w:rsid w:val="008D044C"/>
    <w:rsid w:val="008D1BC0"/>
    <w:rsid w:val="008D5CDC"/>
    <w:rsid w:val="008D6C3F"/>
    <w:rsid w:val="008D6F43"/>
    <w:rsid w:val="008E2E79"/>
    <w:rsid w:val="008F016E"/>
    <w:rsid w:val="008F2393"/>
    <w:rsid w:val="008F3FBF"/>
    <w:rsid w:val="008F44B9"/>
    <w:rsid w:val="008F7CFD"/>
    <w:rsid w:val="008F7D57"/>
    <w:rsid w:val="00907B3F"/>
    <w:rsid w:val="0091128A"/>
    <w:rsid w:val="00911CA6"/>
    <w:rsid w:val="0091510C"/>
    <w:rsid w:val="00915CE0"/>
    <w:rsid w:val="009219D8"/>
    <w:rsid w:val="00921BCB"/>
    <w:rsid w:val="009223A2"/>
    <w:rsid w:val="00923811"/>
    <w:rsid w:val="00930FF7"/>
    <w:rsid w:val="00940AA0"/>
    <w:rsid w:val="00940C92"/>
    <w:rsid w:val="009413F8"/>
    <w:rsid w:val="00943370"/>
    <w:rsid w:val="0095159F"/>
    <w:rsid w:val="0095322F"/>
    <w:rsid w:val="00956406"/>
    <w:rsid w:val="00961F5F"/>
    <w:rsid w:val="009647DB"/>
    <w:rsid w:val="00965678"/>
    <w:rsid w:val="00965FB8"/>
    <w:rsid w:val="00966CF0"/>
    <w:rsid w:val="00971475"/>
    <w:rsid w:val="009719E3"/>
    <w:rsid w:val="00976D14"/>
    <w:rsid w:val="00980C56"/>
    <w:rsid w:val="00987719"/>
    <w:rsid w:val="009942C3"/>
    <w:rsid w:val="00995013"/>
    <w:rsid w:val="0099515E"/>
    <w:rsid w:val="009A39C2"/>
    <w:rsid w:val="009A4709"/>
    <w:rsid w:val="009A49AD"/>
    <w:rsid w:val="009B0B65"/>
    <w:rsid w:val="009B4739"/>
    <w:rsid w:val="009B4C36"/>
    <w:rsid w:val="009C001A"/>
    <w:rsid w:val="009C4B18"/>
    <w:rsid w:val="009D1678"/>
    <w:rsid w:val="009D51FE"/>
    <w:rsid w:val="009E157C"/>
    <w:rsid w:val="009E1750"/>
    <w:rsid w:val="009E224D"/>
    <w:rsid w:val="009E282E"/>
    <w:rsid w:val="009E725C"/>
    <w:rsid w:val="009F4A5A"/>
    <w:rsid w:val="00A02BCE"/>
    <w:rsid w:val="00A0365A"/>
    <w:rsid w:val="00A0548E"/>
    <w:rsid w:val="00A108AF"/>
    <w:rsid w:val="00A11A34"/>
    <w:rsid w:val="00A122F1"/>
    <w:rsid w:val="00A16BDA"/>
    <w:rsid w:val="00A2177A"/>
    <w:rsid w:val="00A2305F"/>
    <w:rsid w:val="00A32A95"/>
    <w:rsid w:val="00A339E9"/>
    <w:rsid w:val="00A457EC"/>
    <w:rsid w:val="00A559BC"/>
    <w:rsid w:val="00A70D53"/>
    <w:rsid w:val="00A756CE"/>
    <w:rsid w:val="00A7702B"/>
    <w:rsid w:val="00A81B5A"/>
    <w:rsid w:val="00A83E25"/>
    <w:rsid w:val="00A9225B"/>
    <w:rsid w:val="00A93934"/>
    <w:rsid w:val="00AA6F4C"/>
    <w:rsid w:val="00AB172C"/>
    <w:rsid w:val="00AB4170"/>
    <w:rsid w:val="00AB449D"/>
    <w:rsid w:val="00AC11CC"/>
    <w:rsid w:val="00AC48D2"/>
    <w:rsid w:val="00AC7ACA"/>
    <w:rsid w:val="00AD1103"/>
    <w:rsid w:val="00AD467C"/>
    <w:rsid w:val="00AE0C65"/>
    <w:rsid w:val="00AE7944"/>
    <w:rsid w:val="00AF5F75"/>
    <w:rsid w:val="00B03827"/>
    <w:rsid w:val="00B04D69"/>
    <w:rsid w:val="00B105F8"/>
    <w:rsid w:val="00B109E4"/>
    <w:rsid w:val="00B162A4"/>
    <w:rsid w:val="00B16C3A"/>
    <w:rsid w:val="00B3492C"/>
    <w:rsid w:val="00B51B4A"/>
    <w:rsid w:val="00B5425A"/>
    <w:rsid w:val="00B61439"/>
    <w:rsid w:val="00B66F49"/>
    <w:rsid w:val="00B72B24"/>
    <w:rsid w:val="00B72DF5"/>
    <w:rsid w:val="00B8036F"/>
    <w:rsid w:val="00B9359B"/>
    <w:rsid w:val="00B9399E"/>
    <w:rsid w:val="00B966F7"/>
    <w:rsid w:val="00BA4BCA"/>
    <w:rsid w:val="00BB29BD"/>
    <w:rsid w:val="00BB5509"/>
    <w:rsid w:val="00BD0E72"/>
    <w:rsid w:val="00BE24F9"/>
    <w:rsid w:val="00BE4C6D"/>
    <w:rsid w:val="00BF0A2A"/>
    <w:rsid w:val="00C005D4"/>
    <w:rsid w:val="00C01A61"/>
    <w:rsid w:val="00C01B1B"/>
    <w:rsid w:val="00C02C13"/>
    <w:rsid w:val="00C04582"/>
    <w:rsid w:val="00C069CC"/>
    <w:rsid w:val="00C0730B"/>
    <w:rsid w:val="00C15AFE"/>
    <w:rsid w:val="00C16628"/>
    <w:rsid w:val="00C214E3"/>
    <w:rsid w:val="00C2393D"/>
    <w:rsid w:val="00C24207"/>
    <w:rsid w:val="00C31280"/>
    <w:rsid w:val="00C3593F"/>
    <w:rsid w:val="00C46785"/>
    <w:rsid w:val="00C6043C"/>
    <w:rsid w:val="00C63AD1"/>
    <w:rsid w:val="00C64B3D"/>
    <w:rsid w:val="00C651E8"/>
    <w:rsid w:val="00C710D9"/>
    <w:rsid w:val="00C71390"/>
    <w:rsid w:val="00C7280F"/>
    <w:rsid w:val="00C732E0"/>
    <w:rsid w:val="00C76C49"/>
    <w:rsid w:val="00C81FBE"/>
    <w:rsid w:val="00C84A32"/>
    <w:rsid w:val="00C84BE2"/>
    <w:rsid w:val="00C859DC"/>
    <w:rsid w:val="00C866B7"/>
    <w:rsid w:val="00C87615"/>
    <w:rsid w:val="00CA0BD2"/>
    <w:rsid w:val="00CB2F12"/>
    <w:rsid w:val="00CB5708"/>
    <w:rsid w:val="00CB719B"/>
    <w:rsid w:val="00CD274D"/>
    <w:rsid w:val="00CE03A8"/>
    <w:rsid w:val="00D01A89"/>
    <w:rsid w:val="00D03694"/>
    <w:rsid w:val="00D11BC1"/>
    <w:rsid w:val="00D1417A"/>
    <w:rsid w:val="00D2197F"/>
    <w:rsid w:val="00D219AA"/>
    <w:rsid w:val="00D2290D"/>
    <w:rsid w:val="00D23F20"/>
    <w:rsid w:val="00D273FA"/>
    <w:rsid w:val="00D45463"/>
    <w:rsid w:val="00D50DB4"/>
    <w:rsid w:val="00D545D9"/>
    <w:rsid w:val="00D605A9"/>
    <w:rsid w:val="00D6752B"/>
    <w:rsid w:val="00D704B3"/>
    <w:rsid w:val="00D7156B"/>
    <w:rsid w:val="00D72B03"/>
    <w:rsid w:val="00D747EE"/>
    <w:rsid w:val="00D949B9"/>
    <w:rsid w:val="00D95ECB"/>
    <w:rsid w:val="00DA0216"/>
    <w:rsid w:val="00DA156A"/>
    <w:rsid w:val="00DA5AB2"/>
    <w:rsid w:val="00DA65EE"/>
    <w:rsid w:val="00DA79AE"/>
    <w:rsid w:val="00DB5209"/>
    <w:rsid w:val="00DC3CE2"/>
    <w:rsid w:val="00DC5625"/>
    <w:rsid w:val="00DC5B9C"/>
    <w:rsid w:val="00DD04CE"/>
    <w:rsid w:val="00DD31E4"/>
    <w:rsid w:val="00DE1F83"/>
    <w:rsid w:val="00DE3A77"/>
    <w:rsid w:val="00DE52BE"/>
    <w:rsid w:val="00DF5A35"/>
    <w:rsid w:val="00DF64D2"/>
    <w:rsid w:val="00DF6D5F"/>
    <w:rsid w:val="00E0462E"/>
    <w:rsid w:val="00E07284"/>
    <w:rsid w:val="00E13FF5"/>
    <w:rsid w:val="00E204B3"/>
    <w:rsid w:val="00E26143"/>
    <w:rsid w:val="00E26EB9"/>
    <w:rsid w:val="00E303C8"/>
    <w:rsid w:val="00E32D47"/>
    <w:rsid w:val="00E45D5B"/>
    <w:rsid w:val="00E4667E"/>
    <w:rsid w:val="00E4727D"/>
    <w:rsid w:val="00E47F41"/>
    <w:rsid w:val="00E54723"/>
    <w:rsid w:val="00E6449D"/>
    <w:rsid w:val="00E720E8"/>
    <w:rsid w:val="00E74C64"/>
    <w:rsid w:val="00E87623"/>
    <w:rsid w:val="00EB679B"/>
    <w:rsid w:val="00EB7F2F"/>
    <w:rsid w:val="00EC5045"/>
    <w:rsid w:val="00EC61DB"/>
    <w:rsid w:val="00EC7AF5"/>
    <w:rsid w:val="00ED4079"/>
    <w:rsid w:val="00ED492C"/>
    <w:rsid w:val="00ED4B1A"/>
    <w:rsid w:val="00ED5A31"/>
    <w:rsid w:val="00EE34F6"/>
    <w:rsid w:val="00EE530A"/>
    <w:rsid w:val="00EE6139"/>
    <w:rsid w:val="00EF0279"/>
    <w:rsid w:val="00EF5901"/>
    <w:rsid w:val="00F02EF1"/>
    <w:rsid w:val="00F0725B"/>
    <w:rsid w:val="00F15233"/>
    <w:rsid w:val="00F21535"/>
    <w:rsid w:val="00F22DAD"/>
    <w:rsid w:val="00F30073"/>
    <w:rsid w:val="00F32185"/>
    <w:rsid w:val="00F3412D"/>
    <w:rsid w:val="00F3420E"/>
    <w:rsid w:val="00F411EC"/>
    <w:rsid w:val="00F42998"/>
    <w:rsid w:val="00F43017"/>
    <w:rsid w:val="00F43B86"/>
    <w:rsid w:val="00F50EED"/>
    <w:rsid w:val="00F576B3"/>
    <w:rsid w:val="00F623EB"/>
    <w:rsid w:val="00F639D7"/>
    <w:rsid w:val="00F653EA"/>
    <w:rsid w:val="00F70395"/>
    <w:rsid w:val="00F715E0"/>
    <w:rsid w:val="00F8092D"/>
    <w:rsid w:val="00FA4390"/>
    <w:rsid w:val="00FA46EF"/>
    <w:rsid w:val="00FB2B3C"/>
    <w:rsid w:val="00FC1105"/>
    <w:rsid w:val="00FC44B5"/>
    <w:rsid w:val="00FC5A3D"/>
    <w:rsid w:val="00FC60FD"/>
    <w:rsid w:val="00FC689A"/>
    <w:rsid w:val="00FC74D3"/>
    <w:rsid w:val="00FD0418"/>
    <w:rsid w:val="00FD4A6F"/>
    <w:rsid w:val="00FE3189"/>
    <w:rsid w:val="00FF33D8"/>
    <w:rsid w:val="00FF62EE"/>
    <w:rsid w:val="01CC6F37"/>
    <w:rsid w:val="02771A21"/>
    <w:rsid w:val="02D637DA"/>
    <w:rsid w:val="049A7498"/>
    <w:rsid w:val="05715A9D"/>
    <w:rsid w:val="09243163"/>
    <w:rsid w:val="0A277785"/>
    <w:rsid w:val="0B7B276B"/>
    <w:rsid w:val="0C6C7137"/>
    <w:rsid w:val="0EBC129C"/>
    <w:rsid w:val="0F4164C0"/>
    <w:rsid w:val="12A54ECF"/>
    <w:rsid w:val="160A4B08"/>
    <w:rsid w:val="188D3191"/>
    <w:rsid w:val="1898543D"/>
    <w:rsid w:val="18F347B8"/>
    <w:rsid w:val="18F56828"/>
    <w:rsid w:val="198F6B41"/>
    <w:rsid w:val="1D9E49A0"/>
    <w:rsid w:val="1E0A2B73"/>
    <w:rsid w:val="1E6A6628"/>
    <w:rsid w:val="212E56F9"/>
    <w:rsid w:val="22461DFD"/>
    <w:rsid w:val="2512405F"/>
    <w:rsid w:val="2514783C"/>
    <w:rsid w:val="266B0963"/>
    <w:rsid w:val="27732F08"/>
    <w:rsid w:val="2A7E50F2"/>
    <w:rsid w:val="2F255AC4"/>
    <w:rsid w:val="30123129"/>
    <w:rsid w:val="3085239D"/>
    <w:rsid w:val="34D5451D"/>
    <w:rsid w:val="352F42A3"/>
    <w:rsid w:val="36177739"/>
    <w:rsid w:val="36F655CA"/>
    <w:rsid w:val="3B435C2A"/>
    <w:rsid w:val="3BBA519E"/>
    <w:rsid w:val="3D265E3D"/>
    <w:rsid w:val="3E3769D6"/>
    <w:rsid w:val="3E660330"/>
    <w:rsid w:val="4085642D"/>
    <w:rsid w:val="416C5E5E"/>
    <w:rsid w:val="435570BA"/>
    <w:rsid w:val="46000A1F"/>
    <w:rsid w:val="4B5E64AB"/>
    <w:rsid w:val="4CFF471E"/>
    <w:rsid w:val="4EEB3094"/>
    <w:rsid w:val="50AC4F0E"/>
    <w:rsid w:val="51E73247"/>
    <w:rsid w:val="55241D42"/>
    <w:rsid w:val="57070E54"/>
    <w:rsid w:val="5A204DE1"/>
    <w:rsid w:val="5A6C4C56"/>
    <w:rsid w:val="5B2960F2"/>
    <w:rsid w:val="5EA76B7E"/>
    <w:rsid w:val="5EFE9CBD"/>
    <w:rsid w:val="619F0C41"/>
    <w:rsid w:val="61C16A4B"/>
    <w:rsid w:val="65F013FA"/>
    <w:rsid w:val="67273F94"/>
    <w:rsid w:val="67C568ED"/>
    <w:rsid w:val="69933B0E"/>
    <w:rsid w:val="6ACE38FF"/>
    <w:rsid w:val="74062423"/>
    <w:rsid w:val="78484BC7"/>
    <w:rsid w:val="793F09B1"/>
    <w:rsid w:val="79D259ED"/>
    <w:rsid w:val="7DA7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unhideWhenUsed/>
    <w:qFormat/>
    <w:uiPriority w:val="99"/>
    <w:rPr>
      <w:sz w:val="21"/>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6"/>
    <w:link w:val="5"/>
    <w:qFormat/>
    <w:uiPriority w:val="99"/>
    <w:rPr>
      <w:rFonts w:ascii="Calibri" w:hAnsi="Calibri" w:eastAsia="宋体" w:cs="Times New Roman"/>
      <w:sz w:val="18"/>
      <w:szCs w:val="18"/>
    </w:rPr>
  </w:style>
  <w:style w:type="character" w:customStyle="1" w:styleId="11">
    <w:name w:val="页脚 字符"/>
    <w:basedOn w:val="6"/>
    <w:link w:val="4"/>
    <w:qFormat/>
    <w:uiPriority w:val="99"/>
    <w:rPr>
      <w:rFonts w:ascii="Calibri" w:hAnsi="Calibri" w:eastAsia="宋体" w:cs="Times New Roman"/>
      <w:sz w:val="18"/>
      <w:szCs w:val="18"/>
    </w:rPr>
  </w:style>
  <w:style w:type="paragraph" w:customStyle="1" w:styleId="12">
    <w:name w:val="List Paragraph"/>
    <w:basedOn w:val="1"/>
    <w:qFormat/>
    <w:uiPriority w:val="34"/>
    <w:pPr>
      <w:ind w:firstLine="420" w:firstLineChars="200"/>
    </w:pPr>
  </w:style>
  <w:style w:type="character" w:customStyle="1" w:styleId="13">
    <w:name w:val="批注文字 字符"/>
    <w:basedOn w:val="6"/>
    <w:link w:val="3"/>
    <w:semiHidden/>
    <w:qFormat/>
    <w:uiPriority w:val="99"/>
    <w:rPr>
      <w:rFonts w:ascii="Calibri" w:hAnsi="Calibri" w:eastAsia="宋体" w:cs="Times New Roman"/>
      <w:kern w:val="2"/>
      <w:sz w:val="21"/>
      <w:szCs w:val="22"/>
    </w:rPr>
  </w:style>
  <w:style w:type="character" w:customStyle="1" w:styleId="14">
    <w:name w:val="批注主题 字符"/>
    <w:basedOn w:val="13"/>
    <w:link w:val="2"/>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1346</Words>
  <Characters>7676</Characters>
  <Lines>63</Lines>
  <Paragraphs>18</Paragraphs>
  <TotalTime>0</TotalTime>
  <ScaleCrop>false</ScaleCrop>
  <LinksUpToDate>false</LinksUpToDate>
  <CharactersWithSpaces>9004</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2019-09-10T12:46:00Z</dcterms:created>
  <dc:creator>lenovo</dc:creator>
  <cp:lastModifiedBy>apple</cp:lastModifiedBy>
  <cp:lastPrinted>2017-06-28T11:55:00Z</cp:lastPrinted>
  <dcterms:modified xsi:type="dcterms:W3CDTF">2022-10-08T15:53:01Z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