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D7672">
      <w:pPr>
        <w:ind w:right="-120"/>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健康教育学</w:t>
      </w:r>
      <w:r>
        <w:rPr>
          <w:rFonts w:ascii="黑体" w:hAnsi="黑体" w:eastAsia="黑体"/>
          <w:bCs/>
          <w:sz w:val="32"/>
          <w:szCs w:val="32"/>
        </w:rPr>
        <w:t xml:space="preserve">  </w:t>
      </w:r>
      <w:r>
        <w:rPr>
          <w:rFonts w:hint="eastAsia" w:ascii="黑体" w:hAnsi="黑体" w:eastAsia="黑体"/>
          <w:bCs/>
          <w:sz w:val="32"/>
          <w:szCs w:val="32"/>
        </w:rPr>
        <w:t>》本科课程教学大纲</w:t>
      </w:r>
    </w:p>
    <w:p w14:paraId="678AC211">
      <w:pPr>
        <w:pStyle w:val="17"/>
        <w:spacing w:before="326" w:beforeLines="100" w:line="360" w:lineRule="auto"/>
        <w:ind w:right="-120"/>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8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403"/>
        <w:gridCol w:w="2548"/>
        <w:gridCol w:w="1272"/>
        <w:gridCol w:w="1025"/>
        <w:gridCol w:w="400"/>
        <w:gridCol w:w="842"/>
        <w:gridCol w:w="1142"/>
      </w:tblGrid>
      <w:tr w14:paraId="53E8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vMerge w:val="restart"/>
            <w:tcBorders>
              <w:top w:val="single" w:color="auto" w:sz="12" w:space="0"/>
              <w:left w:val="single" w:color="auto" w:sz="12" w:space="0"/>
            </w:tcBorders>
            <w:shd w:val="clear" w:color="auto" w:fill="auto"/>
            <w:vAlign w:val="center"/>
          </w:tcPr>
          <w:p w14:paraId="143692B3">
            <w:pPr>
              <w:widowControl w:val="0"/>
              <w:ind w:right="-12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7229" w:type="dxa"/>
            <w:gridSpan w:val="6"/>
            <w:tcBorders>
              <w:top w:val="single" w:color="auto" w:sz="12" w:space="0"/>
              <w:right w:val="single" w:color="auto" w:sz="12" w:space="0"/>
            </w:tcBorders>
            <w:vAlign w:val="center"/>
          </w:tcPr>
          <w:p w14:paraId="52BDC729">
            <w:pPr>
              <w:widowControl w:val="0"/>
              <w:ind w:right="-120"/>
              <w:jc w:val="left"/>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《健康教育学》※</w:t>
            </w:r>
          </w:p>
        </w:tc>
      </w:tr>
      <w:tr w14:paraId="4609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vMerge w:val="continue"/>
            <w:tcBorders>
              <w:left w:val="single" w:color="auto" w:sz="12" w:space="0"/>
            </w:tcBorders>
            <w:shd w:val="clear" w:color="auto" w:fill="auto"/>
            <w:vAlign w:val="center"/>
          </w:tcPr>
          <w:p w14:paraId="59765A7B">
            <w:pPr>
              <w:widowControl w:val="0"/>
              <w:ind w:right="-120"/>
              <w:jc w:val="center"/>
              <w:rPr>
                <w:rFonts w:ascii="黑体" w:hAnsi="黑体" w:eastAsia="黑体"/>
                <w:color w:val="000000" w:themeColor="text1"/>
                <w:sz w:val="21"/>
                <w:szCs w:val="18"/>
                <w14:textFill>
                  <w14:solidFill>
                    <w14:schemeClr w14:val="tx1"/>
                  </w14:solidFill>
                </w14:textFill>
              </w:rPr>
            </w:pPr>
          </w:p>
        </w:tc>
        <w:tc>
          <w:tcPr>
            <w:tcW w:w="7229" w:type="dxa"/>
            <w:gridSpan w:val="6"/>
            <w:tcBorders>
              <w:right w:val="single" w:color="auto" w:sz="12" w:space="0"/>
            </w:tcBorders>
            <w:vAlign w:val="center"/>
          </w:tcPr>
          <w:p w14:paraId="12F3320D">
            <w:pPr>
              <w:widowControl w:val="0"/>
              <w:ind w:right="-12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Science of Health Education</w:t>
            </w:r>
          </w:p>
        </w:tc>
      </w:tr>
      <w:tr w14:paraId="7BD0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tcBorders>
              <w:left w:val="single" w:color="auto" w:sz="12" w:space="0"/>
            </w:tcBorders>
            <w:shd w:val="clear" w:color="auto" w:fill="auto"/>
            <w:vAlign w:val="center"/>
          </w:tcPr>
          <w:p w14:paraId="7343FF73">
            <w:pPr>
              <w:widowControl w:val="0"/>
              <w:ind w:right="-1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548" w:type="dxa"/>
            <w:vAlign w:val="center"/>
          </w:tcPr>
          <w:p w14:paraId="2AB731B8">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color w:val="000000"/>
                <w:sz w:val="20"/>
                <w:szCs w:val="20"/>
              </w:rPr>
              <w:t>2170027</w:t>
            </w:r>
            <w:r>
              <w:rPr>
                <w:color w:val="000000"/>
                <w:sz w:val="20"/>
                <w:szCs w:val="20"/>
              </w:rPr>
              <w:t xml:space="preserve"> </w:t>
            </w:r>
          </w:p>
        </w:tc>
        <w:tc>
          <w:tcPr>
            <w:tcW w:w="2297" w:type="dxa"/>
            <w:gridSpan w:val="2"/>
            <w:vAlign w:val="center"/>
          </w:tcPr>
          <w:p w14:paraId="05A9CF8C">
            <w:pPr>
              <w:widowControl w:val="0"/>
              <w:ind w:right="-12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384" w:type="dxa"/>
            <w:gridSpan w:val="3"/>
            <w:tcBorders>
              <w:right w:val="single" w:color="auto" w:sz="12" w:space="0"/>
            </w:tcBorders>
            <w:vAlign w:val="center"/>
          </w:tcPr>
          <w:p w14:paraId="6F06A973">
            <w:pPr>
              <w:widowControl w:val="0"/>
              <w:ind w:right="-1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3学分</w:t>
            </w:r>
          </w:p>
        </w:tc>
      </w:tr>
      <w:tr w14:paraId="66FE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tcBorders>
              <w:left w:val="single" w:color="auto" w:sz="12" w:space="0"/>
            </w:tcBorders>
            <w:shd w:val="clear" w:color="auto" w:fill="auto"/>
            <w:vAlign w:val="center"/>
          </w:tcPr>
          <w:p w14:paraId="296E23FF">
            <w:pPr>
              <w:widowControl w:val="0"/>
              <w:ind w:right="-12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548" w:type="dxa"/>
            <w:vAlign w:val="center"/>
          </w:tcPr>
          <w:p w14:paraId="57DE3855">
            <w:pPr>
              <w:widowControl w:val="0"/>
              <w:ind w:right="-12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48</w:t>
            </w:r>
          </w:p>
        </w:tc>
        <w:tc>
          <w:tcPr>
            <w:tcW w:w="1272" w:type="dxa"/>
            <w:vAlign w:val="center"/>
          </w:tcPr>
          <w:p w14:paraId="5502D332">
            <w:pPr>
              <w:widowControl w:val="0"/>
              <w:ind w:right="-12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1025" w:type="dxa"/>
            <w:vAlign w:val="center"/>
          </w:tcPr>
          <w:p w14:paraId="39F2637F">
            <w:pPr>
              <w:widowControl w:val="0"/>
              <w:ind w:right="-1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42" w:type="dxa"/>
            <w:gridSpan w:val="2"/>
            <w:vAlign w:val="center"/>
          </w:tcPr>
          <w:p w14:paraId="1EDC7F7E">
            <w:pPr>
              <w:widowControl w:val="0"/>
              <w:ind w:right="-12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142" w:type="dxa"/>
            <w:tcBorders>
              <w:right w:val="single" w:color="auto" w:sz="12" w:space="0"/>
            </w:tcBorders>
            <w:vAlign w:val="center"/>
          </w:tcPr>
          <w:p w14:paraId="4DC84FDE">
            <w:pPr>
              <w:widowControl w:val="0"/>
              <w:ind w:right="-1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6BBD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tcBorders>
              <w:left w:val="single" w:color="auto" w:sz="12" w:space="0"/>
            </w:tcBorders>
            <w:shd w:val="clear" w:color="auto" w:fill="auto"/>
            <w:vAlign w:val="center"/>
          </w:tcPr>
          <w:p w14:paraId="212242C1">
            <w:pPr>
              <w:widowControl w:val="0"/>
              <w:ind w:right="-1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548" w:type="dxa"/>
            <w:vAlign w:val="center"/>
          </w:tcPr>
          <w:p w14:paraId="0DB0B25E">
            <w:pPr>
              <w:widowControl w:val="0"/>
              <w:ind w:right="-12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健康管理学院</w:t>
            </w:r>
          </w:p>
        </w:tc>
        <w:tc>
          <w:tcPr>
            <w:tcW w:w="2297" w:type="dxa"/>
            <w:gridSpan w:val="2"/>
            <w:vAlign w:val="center"/>
          </w:tcPr>
          <w:p w14:paraId="0F62AEA7">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384" w:type="dxa"/>
            <w:gridSpan w:val="3"/>
            <w:tcBorders>
              <w:right w:val="single" w:color="auto" w:sz="12" w:space="0"/>
            </w:tcBorders>
            <w:vAlign w:val="center"/>
          </w:tcPr>
          <w:p w14:paraId="431E2765">
            <w:pPr>
              <w:widowControl w:val="0"/>
              <w:ind w:right="-1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养老服务管理、大三</w:t>
            </w:r>
          </w:p>
        </w:tc>
      </w:tr>
      <w:tr w14:paraId="2845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tcBorders>
              <w:left w:val="single" w:color="auto" w:sz="12" w:space="0"/>
            </w:tcBorders>
            <w:shd w:val="clear" w:color="auto" w:fill="auto"/>
            <w:vAlign w:val="center"/>
          </w:tcPr>
          <w:p w14:paraId="5BB5717F">
            <w:pPr>
              <w:widowControl w:val="0"/>
              <w:ind w:right="-12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548" w:type="dxa"/>
            <w:vAlign w:val="center"/>
          </w:tcPr>
          <w:p w14:paraId="643A22DB">
            <w:pPr>
              <w:widowControl w:val="0"/>
              <w:ind w:right="-1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297" w:type="dxa"/>
            <w:gridSpan w:val="2"/>
            <w:vAlign w:val="center"/>
          </w:tcPr>
          <w:p w14:paraId="0A87ACE3">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384" w:type="dxa"/>
            <w:gridSpan w:val="3"/>
            <w:tcBorders>
              <w:right w:val="single" w:color="auto" w:sz="12" w:space="0"/>
            </w:tcBorders>
            <w:vAlign w:val="center"/>
          </w:tcPr>
          <w:p w14:paraId="75DA0744">
            <w:pPr>
              <w:widowControl w:val="0"/>
              <w:ind w:right="-1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24BC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tcBorders>
              <w:left w:val="single" w:color="auto" w:sz="12" w:space="0"/>
            </w:tcBorders>
            <w:shd w:val="clear" w:color="auto" w:fill="auto"/>
            <w:vAlign w:val="center"/>
          </w:tcPr>
          <w:p w14:paraId="3B28F45E">
            <w:pPr>
              <w:widowControl w:val="0"/>
              <w:ind w:right="-12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845" w:type="dxa"/>
            <w:gridSpan w:val="3"/>
            <w:vAlign w:val="center"/>
          </w:tcPr>
          <w:p w14:paraId="00A4389D">
            <w:pPr>
              <w:widowControl w:val="0"/>
              <w:ind w:right="-120"/>
              <w:jc w:val="left"/>
              <w:rPr>
                <w:rFonts w:hint="eastAsia" w:cs="仿宋"/>
                <w:sz w:val="21"/>
                <w:szCs w:val="21"/>
              </w:rPr>
            </w:pPr>
            <w:r>
              <w:rPr>
                <w:rFonts w:hint="eastAsia" w:cs="仿宋"/>
                <w:sz w:val="21"/>
                <w:szCs w:val="21"/>
              </w:rPr>
              <w:t>《健康教育学》，傅华，人民卫生出版社，2017年</w:t>
            </w:r>
          </w:p>
          <w:p w14:paraId="1AB9E143">
            <w:pPr>
              <w:widowControl w:val="0"/>
              <w:ind w:right="-120"/>
              <w:jc w:val="left"/>
              <w:rPr>
                <w:rFonts w:ascii="Times New Roman" w:hAnsi="Times New Roman"/>
                <w:color w:val="000000" w:themeColor="text1"/>
                <w:sz w:val="21"/>
                <w:szCs w:val="21"/>
                <w14:textFill>
                  <w14:solidFill>
                    <w14:schemeClr w14:val="tx1"/>
                  </w14:solidFill>
                </w14:textFill>
              </w:rPr>
            </w:pPr>
            <w:r>
              <w:rPr>
                <w:rFonts w:hint="eastAsia" w:cs="仿宋"/>
                <w:sz w:val="21"/>
                <w:szCs w:val="21"/>
              </w:rPr>
              <w:t>7月第3版</w:t>
            </w:r>
          </w:p>
        </w:tc>
        <w:tc>
          <w:tcPr>
            <w:tcW w:w="1242" w:type="dxa"/>
            <w:gridSpan w:val="2"/>
            <w:vAlign w:val="center"/>
          </w:tcPr>
          <w:p w14:paraId="0B1DA21F">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CFB52D9">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142" w:type="dxa"/>
            <w:tcBorders>
              <w:right w:val="single" w:color="auto" w:sz="12" w:space="0"/>
            </w:tcBorders>
            <w:vAlign w:val="center"/>
          </w:tcPr>
          <w:p w14:paraId="568D9AA2">
            <w:pPr>
              <w:widowControl w:val="0"/>
              <w:ind w:left="120" w:leftChars="50" w:right="-12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6AB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403" w:type="dxa"/>
            <w:tcBorders>
              <w:left w:val="single" w:color="auto" w:sz="12" w:space="0"/>
            </w:tcBorders>
            <w:shd w:val="clear" w:color="auto" w:fill="auto"/>
            <w:vAlign w:val="center"/>
          </w:tcPr>
          <w:p w14:paraId="3D4A88DB">
            <w:pPr>
              <w:widowControl w:val="0"/>
              <w:ind w:right="-1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7229" w:type="dxa"/>
            <w:gridSpan w:val="6"/>
            <w:tcBorders>
              <w:right w:val="single" w:color="auto" w:sz="12" w:space="0"/>
            </w:tcBorders>
            <w:vAlign w:val="center"/>
          </w:tcPr>
          <w:p w14:paraId="2344F175">
            <w:pPr>
              <w:pStyle w:val="15"/>
              <w:widowControl w:val="0"/>
              <w:ind w:right="-120"/>
              <w:jc w:val="both"/>
            </w:pPr>
            <w:r>
              <w:rPr>
                <w:rFonts w:hint="eastAsia"/>
              </w:rPr>
              <w:t>环境卫生学（2170018）（2）</w:t>
            </w:r>
          </w:p>
          <w:p w14:paraId="6C50E442">
            <w:pPr>
              <w:pStyle w:val="15"/>
              <w:widowControl w:val="0"/>
              <w:ind w:right="-120"/>
              <w:jc w:val="both"/>
            </w:pPr>
            <w:r>
              <w:rPr>
                <w:rFonts w:hint="eastAsia"/>
              </w:rPr>
              <w:t>社会学概论（2170047）（3）</w:t>
            </w:r>
          </w:p>
        </w:tc>
      </w:tr>
      <w:tr w14:paraId="6838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403" w:type="dxa"/>
            <w:tcBorders>
              <w:left w:val="single" w:color="auto" w:sz="12" w:space="0"/>
            </w:tcBorders>
            <w:shd w:val="clear" w:color="auto" w:fill="auto"/>
            <w:vAlign w:val="center"/>
          </w:tcPr>
          <w:p w14:paraId="56F8230A">
            <w:pPr>
              <w:widowControl w:val="0"/>
              <w:ind w:right="-1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7229" w:type="dxa"/>
            <w:gridSpan w:val="6"/>
            <w:tcBorders>
              <w:right w:val="single" w:color="auto" w:sz="12" w:space="0"/>
            </w:tcBorders>
          </w:tcPr>
          <w:p w14:paraId="6AF07B05">
            <w:pPr>
              <w:widowControl w:val="0"/>
              <w:spacing w:line="312" w:lineRule="auto"/>
              <w:ind w:right="-120"/>
              <w:jc w:val="left"/>
              <w:rPr>
                <w:sz w:val="21"/>
                <w:szCs w:val="21"/>
              </w:rPr>
            </w:pPr>
            <w:r>
              <w:rPr>
                <w:rFonts w:hint="eastAsia"/>
                <w:sz w:val="21"/>
                <w:szCs w:val="21"/>
              </w:rPr>
              <w:t>一、目的</w:t>
            </w:r>
          </w:p>
          <w:p w14:paraId="1C4057B8">
            <w:pPr>
              <w:widowControl w:val="0"/>
              <w:spacing w:line="312" w:lineRule="auto"/>
              <w:ind w:right="-120" w:firstLine="210" w:firstLineChars="100"/>
              <w:jc w:val="left"/>
              <w:rPr>
                <w:color w:val="000000"/>
                <w:sz w:val="21"/>
                <w:szCs w:val="21"/>
              </w:rPr>
            </w:pPr>
            <w:r>
              <w:rPr>
                <w:rFonts w:hint="eastAsia"/>
                <w:color w:val="000000"/>
                <w:sz w:val="21"/>
                <w:szCs w:val="21"/>
              </w:rPr>
              <w:t>《健康教育学》是研究</w:t>
            </w:r>
            <w:r>
              <w:rPr>
                <w:rFonts w:hint="eastAsia"/>
                <w:color w:val="000000"/>
                <w:sz w:val="21"/>
                <w:szCs w:val="21"/>
                <w:lang w:val="en-US" w:eastAsia="zh-CN"/>
              </w:rPr>
              <w:t>人们的健康行为和健康相关行为、</w:t>
            </w:r>
            <w:r>
              <w:rPr>
                <w:rFonts w:hint="eastAsia"/>
                <w:color w:val="000000"/>
                <w:sz w:val="21"/>
                <w:szCs w:val="21"/>
              </w:rPr>
              <w:t>健康教育与健康促进的基本理论和方法的一</w:t>
            </w:r>
            <w:r>
              <w:rPr>
                <w:rFonts w:hint="eastAsia"/>
                <w:color w:val="000000"/>
                <w:sz w:val="21"/>
                <w:szCs w:val="21"/>
                <w:lang w:val="en-US" w:eastAsia="zh-CN"/>
              </w:rPr>
              <w:t>门</w:t>
            </w:r>
            <w:r>
              <w:rPr>
                <w:rFonts w:hint="eastAsia"/>
                <w:color w:val="000000"/>
                <w:sz w:val="21"/>
                <w:szCs w:val="21"/>
              </w:rPr>
              <w:t>科学，是医学与行为科学相融合的交叉学科。它力图在医学、尤其是预防医学领域应用行为科学的方法和成就，研究人类行为和健康、疾病的相互关系及其规律，探索有效、可行、经济、平安的促进干预策略和措施，并对干预效果和效益进行评价的活动和方法，为疾病预防、病人的康复服务，</w:t>
            </w:r>
            <w:r>
              <w:rPr>
                <w:rFonts w:hint="eastAsia"/>
                <w:color w:val="000000"/>
                <w:sz w:val="21"/>
                <w:szCs w:val="21"/>
                <w:lang w:val="en-US" w:eastAsia="zh-CN"/>
              </w:rPr>
              <w:t>特别是服务于老年人，</w:t>
            </w:r>
            <w:r>
              <w:rPr>
                <w:rFonts w:hint="eastAsia"/>
                <w:color w:val="000000"/>
                <w:sz w:val="21"/>
                <w:szCs w:val="21"/>
              </w:rPr>
              <w:t>从而增进</w:t>
            </w:r>
            <w:r>
              <w:rPr>
                <w:rFonts w:hint="eastAsia"/>
                <w:color w:val="000000"/>
                <w:sz w:val="21"/>
                <w:szCs w:val="21"/>
                <w:lang w:val="en-US" w:eastAsia="zh-CN"/>
              </w:rPr>
              <w:t>老年人</w:t>
            </w:r>
            <w:r>
              <w:rPr>
                <w:rFonts w:hint="eastAsia"/>
                <w:color w:val="000000"/>
                <w:sz w:val="21"/>
                <w:szCs w:val="21"/>
              </w:rPr>
              <w:t>身心健康，提高生活质量。</w:t>
            </w:r>
          </w:p>
          <w:p w14:paraId="411F9715">
            <w:pPr>
              <w:pStyle w:val="16"/>
              <w:widowControl w:val="0"/>
              <w:numPr>
                <w:ilvl w:val="0"/>
                <w:numId w:val="1"/>
              </w:numPr>
              <w:spacing w:line="312" w:lineRule="auto"/>
              <w:ind w:right="-120" w:firstLineChars="0"/>
              <w:jc w:val="left"/>
              <w:rPr>
                <w:sz w:val="21"/>
                <w:szCs w:val="21"/>
              </w:rPr>
            </w:pPr>
            <w:r>
              <w:rPr>
                <w:rFonts w:hint="eastAsia"/>
                <w:sz w:val="21"/>
                <w:szCs w:val="21"/>
              </w:rPr>
              <w:t>内容</w:t>
            </w:r>
          </w:p>
          <w:p w14:paraId="473DD032">
            <w:pPr>
              <w:widowControl w:val="0"/>
              <w:spacing w:line="312" w:lineRule="auto"/>
              <w:ind w:right="-120" w:firstLine="420" w:firstLineChars="200"/>
              <w:jc w:val="left"/>
              <w:rPr>
                <w:color w:val="000000"/>
                <w:sz w:val="21"/>
                <w:szCs w:val="21"/>
              </w:rPr>
            </w:pPr>
            <w:r>
              <w:rPr>
                <w:rFonts w:hint="eastAsia"/>
                <w:color w:val="000000"/>
                <w:sz w:val="21"/>
                <w:szCs w:val="21"/>
              </w:rPr>
              <w:t>健康教育与健康促进为人们行为改变提供必须的知识、技术与环境支持</w:t>
            </w:r>
          </w:p>
          <w:p w14:paraId="7DA016B0">
            <w:pPr>
              <w:widowControl w:val="0"/>
              <w:spacing w:line="312" w:lineRule="auto"/>
              <w:ind w:right="-120"/>
              <w:jc w:val="left"/>
              <w:rPr>
                <w:color w:val="000000"/>
                <w:sz w:val="21"/>
                <w:szCs w:val="21"/>
              </w:rPr>
            </w:pPr>
            <w:r>
              <w:rPr>
                <w:rFonts w:hint="eastAsia"/>
                <w:color w:val="000000"/>
                <w:sz w:val="21"/>
                <w:szCs w:val="21"/>
              </w:rPr>
              <w:t>等，最终的目的是改善人群健康状况，提高生活质量。健康教育的目的是让</w:t>
            </w:r>
          </w:p>
          <w:p w14:paraId="70C669C0">
            <w:pPr>
              <w:widowControl w:val="0"/>
              <w:spacing w:line="312" w:lineRule="auto"/>
              <w:ind w:right="-120"/>
              <w:jc w:val="left"/>
              <w:rPr>
                <w:color w:val="000000"/>
                <w:sz w:val="21"/>
                <w:szCs w:val="21"/>
              </w:rPr>
            </w:pPr>
            <w:r>
              <w:rPr>
                <w:rFonts w:hint="eastAsia"/>
                <w:color w:val="000000"/>
                <w:sz w:val="21"/>
                <w:szCs w:val="21"/>
              </w:rPr>
              <w:t>人们做出有益于健康的选择，健康促进是使健康选择成为每个人既方便又实</w:t>
            </w:r>
          </w:p>
          <w:p w14:paraId="59487639">
            <w:pPr>
              <w:widowControl w:val="0"/>
              <w:spacing w:line="312" w:lineRule="auto"/>
              <w:ind w:right="-120"/>
              <w:jc w:val="left"/>
              <w:rPr>
                <w:color w:val="000000"/>
                <w:sz w:val="21"/>
                <w:szCs w:val="21"/>
              </w:rPr>
            </w:pPr>
            <w:r>
              <w:rPr>
                <w:rFonts w:hint="eastAsia"/>
                <w:color w:val="000000"/>
                <w:sz w:val="21"/>
                <w:szCs w:val="21"/>
              </w:rPr>
              <w:t>惠的选择。任何一种疾病防控和突发事件的有效应对都需要健康教育与健康</w:t>
            </w:r>
          </w:p>
          <w:p w14:paraId="688A99DA">
            <w:pPr>
              <w:widowControl w:val="0"/>
              <w:spacing w:line="312" w:lineRule="auto"/>
              <w:ind w:right="-120"/>
              <w:jc w:val="left"/>
              <w:rPr>
                <w:color w:val="000000"/>
                <w:sz w:val="21"/>
                <w:szCs w:val="21"/>
              </w:rPr>
            </w:pPr>
            <w:r>
              <w:rPr>
                <w:rFonts w:hint="eastAsia"/>
                <w:color w:val="000000"/>
                <w:sz w:val="21"/>
                <w:szCs w:val="21"/>
              </w:rPr>
              <w:t>促进的策略和手段。世界卫生组织提出的新公共卫生的核心内涵是健康促进</w:t>
            </w:r>
          </w:p>
          <w:p w14:paraId="57C7CC80">
            <w:pPr>
              <w:widowControl w:val="0"/>
              <w:spacing w:line="312" w:lineRule="auto"/>
              <w:ind w:right="-120"/>
              <w:jc w:val="left"/>
              <w:rPr>
                <w:color w:val="000000"/>
                <w:sz w:val="21"/>
                <w:szCs w:val="21"/>
              </w:rPr>
            </w:pPr>
            <w:r>
              <w:rPr>
                <w:rFonts w:hint="eastAsia"/>
                <w:color w:val="000000"/>
                <w:sz w:val="21"/>
                <w:szCs w:val="21"/>
              </w:rPr>
              <w:t>的理念，即以人为本，以健康为中心，从政治、经济、环境全方位解决健康</w:t>
            </w:r>
          </w:p>
          <w:p w14:paraId="6E1E61D1">
            <w:pPr>
              <w:widowControl w:val="0"/>
              <w:spacing w:line="312" w:lineRule="auto"/>
              <w:ind w:right="-120"/>
              <w:jc w:val="left"/>
              <w:rPr>
                <w:color w:val="000000"/>
                <w:sz w:val="21"/>
                <w:szCs w:val="21"/>
              </w:rPr>
            </w:pPr>
            <w:r>
              <w:rPr>
                <w:rFonts w:hint="eastAsia"/>
                <w:color w:val="000000"/>
                <w:sz w:val="21"/>
                <w:szCs w:val="21"/>
              </w:rPr>
              <w:t>问题。本课程共分为四个部分，第一部分概述部分，主要讲解健康教育的学</w:t>
            </w:r>
          </w:p>
          <w:p w14:paraId="17079820">
            <w:pPr>
              <w:widowControl w:val="0"/>
              <w:spacing w:line="312" w:lineRule="auto"/>
              <w:ind w:right="-120"/>
              <w:jc w:val="left"/>
              <w:rPr>
                <w:color w:val="000000"/>
                <w:sz w:val="21"/>
                <w:szCs w:val="21"/>
              </w:rPr>
            </w:pPr>
            <w:r>
              <w:rPr>
                <w:rFonts w:hint="eastAsia"/>
                <w:color w:val="000000"/>
                <w:sz w:val="21"/>
                <w:szCs w:val="21"/>
              </w:rPr>
              <w:t>科性质，健康教育和健康促进的概念以及健康行为的概念和影响因素。第二</w:t>
            </w:r>
          </w:p>
          <w:p w14:paraId="470A78C9">
            <w:pPr>
              <w:widowControl w:val="0"/>
              <w:spacing w:line="312" w:lineRule="auto"/>
              <w:ind w:right="-120"/>
              <w:jc w:val="left"/>
              <w:rPr>
                <w:color w:val="000000"/>
                <w:sz w:val="21"/>
                <w:szCs w:val="21"/>
              </w:rPr>
            </w:pPr>
            <w:r>
              <w:rPr>
                <w:rFonts w:hint="eastAsia"/>
                <w:color w:val="000000"/>
                <w:sz w:val="21"/>
                <w:szCs w:val="21"/>
              </w:rPr>
              <w:t>部分是理论部分，主要讲解健康教育的六个理论，分别从个体、群体和社区</w:t>
            </w:r>
          </w:p>
          <w:p w14:paraId="5C4B346C">
            <w:pPr>
              <w:widowControl w:val="0"/>
              <w:spacing w:line="312" w:lineRule="auto"/>
              <w:ind w:right="-120"/>
              <w:jc w:val="left"/>
              <w:rPr>
                <w:color w:val="000000"/>
                <w:sz w:val="21"/>
                <w:szCs w:val="21"/>
              </w:rPr>
            </w:pPr>
            <w:r>
              <w:rPr>
                <w:rFonts w:hint="eastAsia"/>
                <w:color w:val="000000"/>
                <w:sz w:val="21"/>
                <w:szCs w:val="21"/>
              </w:rPr>
              <w:t>三个层面介绍了六个健康教育的理论以及在理论的指导下提出相应的干预</w:t>
            </w:r>
          </w:p>
          <w:p w14:paraId="2431234B">
            <w:pPr>
              <w:widowControl w:val="0"/>
              <w:spacing w:line="312" w:lineRule="auto"/>
              <w:ind w:right="-120"/>
              <w:jc w:val="left"/>
              <w:rPr>
                <w:color w:val="000000"/>
                <w:sz w:val="21"/>
                <w:szCs w:val="21"/>
              </w:rPr>
            </w:pPr>
            <w:r>
              <w:rPr>
                <w:rFonts w:hint="eastAsia"/>
                <w:color w:val="000000"/>
                <w:sz w:val="21"/>
                <w:szCs w:val="21"/>
              </w:rPr>
              <w:t>策略。第三部分是实践部分，从健康教育与健康促进项目的设计、实施与评价，健康传播方法与技术，健康教育教学活动的设计与评价，健康场所建设四个</w:t>
            </w:r>
          </w:p>
          <w:p w14:paraId="3EB61D9A">
            <w:pPr>
              <w:widowControl w:val="0"/>
              <w:spacing w:line="312" w:lineRule="auto"/>
              <w:ind w:right="-120"/>
              <w:jc w:val="left"/>
              <w:rPr>
                <w:color w:val="000000"/>
                <w:sz w:val="21"/>
                <w:szCs w:val="21"/>
              </w:rPr>
            </w:pPr>
            <w:r>
              <w:rPr>
                <w:rFonts w:hint="eastAsia"/>
                <w:color w:val="000000"/>
                <w:sz w:val="21"/>
                <w:szCs w:val="21"/>
              </w:rPr>
              <w:t>问题，阐述了健康教育在实践中的应用。第四部分是案例，在8个案例中，</w:t>
            </w:r>
          </w:p>
          <w:p w14:paraId="16F0AD25">
            <w:pPr>
              <w:widowControl w:val="0"/>
              <w:spacing w:line="312" w:lineRule="auto"/>
              <w:ind w:right="-120"/>
              <w:jc w:val="left"/>
              <w:rPr>
                <w:color w:val="000000"/>
                <w:sz w:val="21"/>
                <w:szCs w:val="21"/>
              </w:rPr>
            </w:pPr>
            <w:r>
              <w:rPr>
                <w:rFonts w:hint="eastAsia"/>
                <w:color w:val="000000"/>
                <w:sz w:val="21"/>
                <w:szCs w:val="21"/>
              </w:rPr>
              <w:t>运用前面所学的理论和实践进行案例的解读。</w:t>
            </w:r>
          </w:p>
          <w:p w14:paraId="43B65C78">
            <w:pPr>
              <w:widowControl w:val="0"/>
              <w:spacing w:line="312" w:lineRule="auto"/>
              <w:ind w:right="-120"/>
              <w:jc w:val="left"/>
              <w:rPr>
                <w:sz w:val="21"/>
                <w:szCs w:val="21"/>
              </w:rPr>
            </w:pPr>
            <w:r>
              <w:rPr>
                <w:sz w:val="21"/>
                <w:szCs w:val="21"/>
              </w:rPr>
              <w:t>三、</w:t>
            </w:r>
            <w:r>
              <w:rPr>
                <w:rFonts w:hint="eastAsia"/>
                <w:sz w:val="21"/>
                <w:szCs w:val="21"/>
              </w:rPr>
              <w:t>预期成果</w:t>
            </w:r>
          </w:p>
          <w:p w14:paraId="0B31354E">
            <w:pPr>
              <w:widowControl w:val="0"/>
              <w:spacing w:line="312" w:lineRule="auto"/>
              <w:ind w:right="-120" w:firstLine="420" w:firstLineChars="200"/>
              <w:jc w:val="left"/>
              <w:rPr>
                <w:sz w:val="21"/>
                <w:szCs w:val="21"/>
              </w:rPr>
            </w:pPr>
            <w:r>
              <w:rPr>
                <w:rFonts w:hint="eastAsia"/>
                <w:sz w:val="21"/>
                <w:szCs w:val="21"/>
              </w:rPr>
              <w:t>通过本课程的教学，使学生掌握健康教育与健康促进的基础知识、基本</w:t>
            </w:r>
          </w:p>
          <w:p w14:paraId="2363D6B5">
            <w:pPr>
              <w:widowControl w:val="0"/>
              <w:spacing w:line="312" w:lineRule="auto"/>
              <w:ind w:right="-120"/>
              <w:jc w:val="left"/>
              <w:rPr>
                <w:sz w:val="21"/>
                <w:szCs w:val="21"/>
              </w:rPr>
            </w:pPr>
            <w:r>
              <w:rPr>
                <w:rFonts w:hint="eastAsia"/>
                <w:sz w:val="21"/>
                <w:szCs w:val="21"/>
              </w:rPr>
              <w:t>理论和技能，树立健康理念。在个人层次上掌握与健康相关的知识、态度和</w:t>
            </w:r>
          </w:p>
          <w:p w14:paraId="0E269DA6">
            <w:pPr>
              <w:widowControl w:val="0"/>
              <w:spacing w:line="312" w:lineRule="auto"/>
              <w:ind w:right="-120"/>
              <w:jc w:val="left"/>
              <w:rPr>
                <w:sz w:val="21"/>
                <w:szCs w:val="21"/>
              </w:rPr>
            </w:pPr>
            <w:r>
              <w:rPr>
                <w:rFonts w:hint="eastAsia"/>
                <w:sz w:val="21"/>
                <w:szCs w:val="21"/>
              </w:rPr>
              <w:t>技能，健康管理理念，具备健康生活的能力；在社区层次上具有发动、组织</w:t>
            </w:r>
          </w:p>
          <w:p w14:paraId="0DDD5275">
            <w:pPr>
              <w:widowControl w:val="0"/>
              <w:spacing w:line="312" w:lineRule="auto"/>
              <w:ind w:right="-120"/>
              <w:jc w:val="left"/>
              <w:rPr>
                <w:sz w:val="21"/>
                <w:szCs w:val="21"/>
              </w:rPr>
            </w:pPr>
            <w:r>
              <w:rPr>
                <w:rFonts w:hint="eastAsia"/>
                <w:sz w:val="21"/>
                <w:szCs w:val="21"/>
              </w:rPr>
              <w:t>全社会多部门协作，共同创立健康的生活环境的能力；在政府层次上学会通</w:t>
            </w:r>
          </w:p>
          <w:p w14:paraId="5BF71348">
            <w:pPr>
              <w:widowControl w:val="0"/>
              <w:spacing w:line="312" w:lineRule="auto"/>
              <w:ind w:right="-120"/>
              <w:jc w:val="left"/>
              <w:rPr>
                <w:sz w:val="21"/>
                <w:szCs w:val="21"/>
              </w:rPr>
            </w:pPr>
            <w:r>
              <w:rPr>
                <w:rFonts w:hint="eastAsia"/>
                <w:sz w:val="21"/>
                <w:szCs w:val="21"/>
              </w:rPr>
              <w:t>过社会舆论和社会风气的倡导，以获得政府的承诺和促进健康公共政策的支持。</w:t>
            </w:r>
          </w:p>
          <w:p w14:paraId="7D4504E8">
            <w:pPr>
              <w:widowControl w:val="0"/>
              <w:spacing w:line="312" w:lineRule="auto"/>
              <w:ind w:right="-120" w:firstLine="420" w:firstLineChars="200"/>
              <w:jc w:val="left"/>
              <w:rPr>
                <w:sz w:val="21"/>
                <w:szCs w:val="21"/>
              </w:rPr>
            </w:pPr>
            <w:r>
              <w:rPr>
                <w:rFonts w:hint="eastAsia"/>
                <w:sz w:val="21"/>
                <w:szCs w:val="21"/>
                <w:lang w:val="en-US" w:eastAsia="zh-CN"/>
              </w:rPr>
              <w:t>通过课程学习，首先培养</w:t>
            </w:r>
            <w:r>
              <w:rPr>
                <w:rFonts w:hint="eastAsia"/>
                <w:sz w:val="21"/>
                <w:szCs w:val="21"/>
              </w:rPr>
              <w:t>学生学习科学、破除迷信，移风易俗、排弃陋习，促进人群健康行为和生活方式改善、对社会主义精神文明的建设做出应有的贡献；</w:t>
            </w:r>
            <w:r>
              <w:rPr>
                <w:rFonts w:hint="eastAsia"/>
                <w:sz w:val="21"/>
                <w:szCs w:val="21"/>
                <w:lang w:val="en-US" w:eastAsia="zh-CN"/>
              </w:rPr>
              <w:t>其次</w:t>
            </w:r>
            <w:r>
              <w:rPr>
                <w:rFonts w:hint="eastAsia"/>
                <w:sz w:val="21"/>
                <w:szCs w:val="21"/>
              </w:rPr>
              <w:t>培养与教育学生树立全心全意为人民健康服务的精神、为全民健康贡献力量的信念。最后，</w:t>
            </w:r>
            <w:r>
              <w:rPr>
                <w:rFonts w:hint="eastAsia"/>
                <w:sz w:val="21"/>
                <w:szCs w:val="21"/>
                <w:lang w:val="en-US" w:eastAsia="zh-CN"/>
              </w:rPr>
              <w:t>培养</w:t>
            </w:r>
            <w:r>
              <w:rPr>
                <w:rFonts w:hint="eastAsia"/>
                <w:sz w:val="21"/>
                <w:szCs w:val="21"/>
              </w:rPr>
              <w:t>学生需要利用现代教育技术手段，实施对老年人的健康教育。</w:t>
            </w:r>
          </w:p>
          <w:p w14:paraId="653140F1">
            <w:pPr>
              <w:pStyle w:val="15"/>
              <w:widowControl w:val="0"/>
              <w:ind w:right="-120"/>
              <w:jc w:val="left"/>
            </w:pPr>
          </w:p>
        </w:tc>
      </w:tr>
      <w:tr w14:paraId="2154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403" w:type="dxa"/>
            <w:tcBorders>
              <w:left w:val="single" w:color="auto" w:sz="12" w:space="0"/>
              <w:bottom w:val="double" w:color="auto" w:sz="4" w:space="0"/>
            </w:tcBorders>
            <w:shd w:val="clear" w:color="auto" w:fill="auto"/>
            <w:vAlign w:val="center"/>
          </w:tcPr>
          <w:p w14:paraId="6AD32C2C">
            <w:pPr>
              <w:widowControl w:val="0"/>
              <w:ind w:right="-1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7229" w:type="dxa"/>
            <w:gridSpan w:val="6"/>
            <w:tcBorders>
              <w:bottom w:val="double" w:color="auto" w:sz="4" w:space="0"/>
              <w:right w:val="single" w:color="auto" w:sz="12" w:space="0"/>
            </w:tcBorders>
          </w:tcPr>
          <w:p w14:paraId="78811A04">
            <w:pPr>
              <w:widowControl w:val="0"/>
              <w:spacing w:line="312" w:lineRule="auto"/>
              <w:ind w:right="-120" w:firstLine="411" w:firstLineChars="196"/>
              <w:jc w:val="left"/>
              <w:rPr>
                <w:rFonts w:cs="仿宋"/>
                <w:sz w:val="21"/>
                <w:szCs w:val="21"/>
              </w:rPr>
            </w:pPr>
            <w:r>
              <w:rPr>
                <w:rFonts w:hint="eastAsia" w:cs="仿宋"/>
                <w:sz w:val="21"/>
                <w:szCs w:val="21"/>
              </w:rPr>
              <w:t>选课建议：学习</w:t>
            </w:r>
            <w:r>
              <w:rPr>
                <w:rFonts w:hint="eastAsia"/>
                <w:sz w:val="21"/>
                <w:szCs w:val="21"/>
              </w:rPr>
              <w:t>《健康教育学》</w:t>
            </w:r>
            <w:r>
              <w:rPr>
                <w:rFonts w:hint="eastAsia" w:cs="仿宋"/>
                <w:sz w:val="21"/>
                <w:szCs w:val="21"/>
              </w:rPr>
              <w:t>需要具备基本的文本理解能力，基本的</w:t>
            </w:r>
          </w:p>
          <w:p w14:paraId="6255212E">
            <w:pPr>
              <w:widowControl w:val="0"/>
              <w:spacing w:line="312" w:lineRule="auto"/>
              <w:ind w:right="-120"/>
              <w:jc w:val="left"/>
              <w:rPr>
                <w:rFonts w:cs="仿宋"/>
                <w:sz w:val="21"/>
                <w:szCs w:val="21"/>
              </w:rPr>
            </w:pPr>
            <w:r>
              <w:rPr>
                <w:rFonts w:hint="eastAsia" w:cs="仿宋"/>
                <w:sz w:val="21"/>
                <w:szCs w:val="21"/>
              </w:rPr>
              <w:t>社会学理论知识、健康教育，环境卫生基础知识，具有良好的沟通能力和语</w:t>
            </w:r>
          </w:p>
          <w:p w14:paraId="08DA61B0">
            <w:pPr>
              <w:widowControl w:val="0"/>
              <w:spacing w:line="312" w:lineRule="auto"/>
              <w:ind w:right="-120"/>
              <w:jc w:val="left"/>
              <w:rPr>
                <w:rFonts w:cs="仿宋"/>
                <w:sz w:val="21"/>
                <w:szCs w:val="21"/>
              </w:rPr>
            </w:pPr>
            <w:r>
              <w:rPr>
                <w:rFonts w:hint="eastAsia" w:cs="仿宋"/>
                <w:sz w:val="21"/>
                <w:szCs w:val="21"/>
              </w:rPr>
              <w:t>言表达能力。建议在</w:t>
            </w:r>
            <w:r>
              <w:rPr>
                <w:rFonts w:hint="eastAsia" w:cs="仿宋"/>
                <w:sz w:val="21"/>
                <w:szCs w:val="21"/>
                <w:lang w:eastAsia="zh-Hans"/>
              </w:rPr>
              <w:t>养老服务管理</w:t>
            </w:r>
            <w:r>
              <w:rPr>
                <w:rFonts w:hint="eastAsia" w:cs="仿宋"/>
                <w:sz w:val="21"/>
                <w:szCs w:val="21"/>
              </w:rPr>
              <w:t>专业第三学年第一学期开设。</w:t>
            </w:r>
          </w:p>
          <w:p w14:paraId="69B70025">
            <w:pPr>
              <w:widowControl w:val="0"/>
              <w:spacing w:line="312" w:lineRule="auto"/>
              <w:ind w:right="-120" w:firstLine="420" w:firstLineChars="200"/>
              <w:jc w:val="left"/>
              <w:rPr>
                <w:sz w:val="21"/>
                <w:szCs w:val="21"/>
              </w:rPr>
            </w:pPr>
            <w:r>
              <w:rPr>
                <w:rFonts w:hint="eastAsia" w:cs="仿宋"/>
                <w:sz w:val="21"/>
                <w:szCs w:val="21"/>
              </w:rPr>
              <w:t>学习要求：《健康教育学》是养老服务管理专业的专业必修课，</w:t>
            </w:r>
            <w:r>
              <w:rPr>
                <w:rFonts w:hint="eastAsia"/>
                <w:sz w:val="21"/>
                <w:szCs w:val="21"/>
              </w:rPr>
              <w:t>要求学</w:t>
            </w:r>
          </w:p>
          <w:p w14:paraId="5D05DB66">
            <w:pPr>
              <w:widowControl w:val="0"/>
              <w:spacing w:line="312" w:lineRule="auto"/>
              <w:ind w:right="-120"/>
              <w:jc w:val="left"/>
              <w:rPr>
                <w:sz w:val="21"/>
                <w:szCs w:val="21"/>
              </w:rPr>
            </w:pPr>
            <w:r>
              <w:rPr>
                <w:rFonts w:hint="eastAsia"/>
                <w:sz w:val="21"/>
                <w:szCs w:val="21"/>
              </w:rPr>
              <w:t>生能遵守课堂秩序，具备良好的沟通和语言表达能力，认真完成作业，以达到</w:t>
            </w:r>
          </w:p>
          <w:p w14:paraId="34E66F47">
            <w:pPr>
              <w:widowControl w:val="0"/>
              <w:spacing w:line="312" w:lineRule="auto"/>
              <w:ind w:right="-120"/>
              <w:jc w:val="left"/>
              <w:rPr>
                <w:sz w:val="21"/>
                <w:szCs w:val="21"/>
              </w:rPr>
            </w:pPr>
            <w:r>
              <w:rPr>
                <w:rFonts w:hint="eastAsia"/>
                <w:sz w:val="21"/>
                <w:szCs w:val="21"/>
                <w:lang w:val="en-US" w:eastAsia="zh-CN"/>
              </w:rPr>
              <w:t>预期</w:t>
            </w:r>
            <w:r>
              <w:rPr>
                <w:rFonts w:hint="eastAsia"/>
                <w:sz w:val="21"/>
                <w:szCs w:val="21"/>
              </w:rPr>
              <w:t>的教学目的。 </w:t>
            </w:r>
          </w:p>
        </w:tc>
      </w:tr>
      <w:tr w14:paraId="4750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403" w:type="dxa"/>
            <w:tcBorders>
              <w:top w:val="double" w:color="auto" w:sz="4" w:space="0"/>
              <w:left w:val="single" w:color="auto" w:sz="12" w:space="0"/>
            </w:tcBorders>
            <w:shd w:val="clear" w:color="auto" w:fill="auto"/>
            <w:vAlign w:val="center"/>
          </w:tcPr>
          <w:p w14:paraId="48EB6CD9">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820" w:type="dxa"/>
            <w:gridSpan w:val="2"/>
            <w:tcBorders>
              <w:top w:val="double" w:color="auto" w:sz="4" w:space="0"/>
            </w:tcBorders>
            <w:vAlign w:val="center"/>
          </w:tcPr>
          <w:p w14:paraId="2DBA19F9">
            <w:pPr>
              <w:widowControl w:val="0"/>
              <w:ind w:right="-12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1026795" cy="396240"/>
                  <wp:effectExtent l="0" t="0" r="1905" b="3810"/>
                  <wp:docPr id="1" name="图片 1" descr="003236908c23e40bfddc748aca1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3236908c23e40bfddc748aca17de9"/>
                          <pic:cNvPicPr>
                            <a:picLocks noChangeAspect="1"/>
                          </pic:cNvPicPr>
                        </pic:nvPicPr>
                        <pic:blipFill>
                          <a:blip r:embed="rId6"/>
                          <a:stretch>
                            <a:fillRect/>
                          </a:stretch>
                        </pic:blipFill>
                        <pic:spPr>
                          <a:xfrm>
                            <a:off x="0" y="0"/>
                            <a:ext cx="1026795" cy="396240"/>
                          </a:xfrm>
                          <a:prstGeom prst="rect">
                            <a:avLst/>
                          </a:prstGeom>
                        </pic:spPr>
                      </pic:pic>
                    </a:graphicData>
                  </a:graphic>
                </wp:inline>
              </w:drawing>
            </w:r>
          </w:p>
        </w:tc>
        <w:tc>
          <w:tcPr>
            <w:tcW w:w="1425" w:type="dxa"/>
            <w:gridSpan w:val="2"/>
            <w:tcBorders>
              <w:top w:val="double" w:color="auto" w:sz="4" w:space="0"/>
            </w:tcBorders>
            <w:vAlign w:val="center"/>
          </w:tcPr>
          <w:p w14:paraId="4DDB70DC">
            <w:pPr>
              <w:widowControl w:val="0"/>
              <w:ind w:right="-12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984" w:type="dxa"/>
            <w:gridSpan w:val="2"/>
            <w:tcBorders>
              <w:top w:val="double" w:color="auto" w:sz="4" w:space="0"/>
              <w:right w:val="single" w:color="auto" w:sz="12" w:space="0"/>
            </w:tcBorders>
            <w:vAlign w:val="center"/>
          </w:tcPr>
          <w:p w14:paraId="2CAD79CF">
            <w:pPr>
              <w:widowControl w:val="0"/>
              <w:ind w:right="-12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8</w:t>
            </w:r>
            <w:r>
              <w:rPr>
                <w:rFonts w:hint="eastAsia" w:ascii="Times New Roman" w:hAnsi="Times New Roman"/>
                <w:color w:val="000000"/>
                <w:sz w:val="21"/>
                <w:szCs w:val="21"/>
              </w:rPr>
              <w:t>.29</w:t>
            </w:r>
          </w:p>
        </w:tc>
      </w:tr>
      <w:tr w14:paraId="2D04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403" w:type="dxa"/>
            <w:tcBorders>
              <w:left w:val="single" w:color="auto" w:sz="12" w:space="0"/>
            </w:tcBorders>
            <w:shd w:val="clear" w:color="auto" w:fill="auto"/>
            <w:vAlign w:val="center"/>
          </w:tcPr>
          <w:p w14:paraId="2A4208A0">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820" w:type="dxa"/>
            <w:gridSpan w:val="2"/>
            <w:vAlign w:val="center"/>
          </w:tcPr>
          <w:p w14:paraId="00A65139">
            <w:pPr>
              <w:widowControl w:val="0"/>
              <w:ind w:right="-120"/>
              <w:jc w:val="right"/>
              <w:rPr>
                <w:rFonts w:ascii="黑体" w:hAnsi="黑体" w:eastAsia="黑体"/>
                <w:color w:val="000000" w:themeColor="text1"/>
                <w:sz w:val="21"/>
                <w:szCs w:val="21"/>
                <w14:textFill>
                  <w14:solidFill>
                    <w14:schemeClr w14:val="tx1"/>
                  </w14:solidFill>
                </w14:textFill>
              </w:rPr>
            </w:pPr>
            <w:bookmarkStart w:id="6" w:name="_GoBack"/>
            <w:r>
              <w:drawing>
                <wp:inline distT="0" distB="0" distL="114300" distR="114300">
                  <wp:extent cx="616585" cy="434975"/>
                  <wp:effectExtent l="0" t="0" r="571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616585" cy="434975"/>
                          </a:xfrm>
                          <a:prstGeom prst="rect">
                            <a:avLst/>
                          </a:prstGeom>
                          <a:noFill/>
                          <a:ln>
                            <a:noFill/>
                          </a:ln>
                        </pic:spPr>
                      </pic:pic>
                    </a:graphicData>
                  </a:graphic>
                </wp:inline>
              </w:drawing>
            </w:r>
            <w:bookmarkEnd w:id="6"/>
          </w:p>
        </w:tc>
        <w:tc>
          <w:tcPr>
            <w:tcW w:w="1425" w:type="dxa"/>
            <w:gridSpan w:val="2"/>
            <w:vAlign w:val="center"/>
          </w:tcPr>
          <w:p w14:paraId="0BF0EE8F">
            <w:pPr>
              <w:widowControl w:val="0"/>
              <w:ind w:right="-12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84" w:type="dxa"/>
            <w:gridSpan w:val="2"/>
            <w:tcBorders>
              <w:right w:val="single" w:color="auto" w:sz="12" w:space="0"/>
            </w:tcBorders>
            <w:vAlign w:val="center"/>
          </w:tcPr>
          <w:p w14:paraId="786BA03A">
            <w:pPr>
              <w:widowControl w:val="0"/>
              <w:ind w:right="-12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r w14:paraId="2870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92" w:hRule="atLeast"/>
        </w:trPr>
        <w:tc>
          <w:tcPr>
            <w:tcW w:w="1403" w:type="dxa"/>
            <w:tcBorders>
              <w:left w:val="single" w:color="auto" w:sz="12" w:space="0"/>
              <w:bottom w:val="single" w:color="auto" w:sz="12" w:space="0"/>
            </w:tcBorders>
            <w:shd w:val="clear" w:color="auto" w:fill="auto"/>
            <w:vAlign w:val="center"/>
          </w:tcPr>
          <w:p w14:paraId="1B285A46">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820" w:type="dxa"/>
            <w:gridSpan w:val="2"/>
            <w:tcBorders>
              <w:bottom w:val="single" w:color="auto" w:sz="12" w:space="0"/>
            </w:tcBorders>
            <w:vAlign w:val="center"/>
          </w:tcPr>
          <w:p w14:paraId="297264B7">
            <w:pPr>
              <w:widowControl w:val="0"/>
              <w:ind w:right="-120"/>
              <w:jc w:val="right"/>
              <w:rPr>
                <w:rFonts w:ascii="黑体" w:hAnsi="黑体" w:eastAsia="黑体"/>
                <w:color w:val="000000" w:themeColor="text1"/>
                <w:sz w:val="21"/>
                <w:szCs w:val="21"/>
                <w14:textFill>
                  <w14:solidFill>
                    <w14:schemeClr w14:val="tx1"/>
                  </w14:solidFill>
                </w14:textFill>
              </w:rPr>
            </w:pPr>
            <w:r>
              <w:rPr>
                <w:rFonts w:hint="eastAsia"/>
              </w:rPr>
              <w:drawing>
                <wp:inline distT="0" distB="0" distL="114300" distR="114300">
                  <wp:extent cx="664845" cy="413385"/>
                  <wp:effectExtent l="0" t="0" r="0" b="5715"/>
                  <wp:docPr id="2" name="图片 1" descr="1d8f3f3bcce92ea66d75b3569b2df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d8f3f3bcce92ea66d75b3569b2df67"/>
                          <pic:cNvPicPr>
                            <a:picLocks noChangeAspect="1"/>
                          </pic:cNvPicPr>
                        </pic:nvPicPr>
                        <pic:blipFill>
                          <a:blip r:embed="rId8"/>
                          <a:stretch>
                            <a:fillRect/>
                          </a:stretch>
                        </pic:blipFill>
                        <pic:spPr>
                          <a:xfrm>
                            <a:off x="0" y="0"/>
                            <a:ext cx="664845" cy="413385"/>
                          </a:xfrm>
                          <a:prstGeom prst="rect">
                            <a:avLst/>
                          </a:prstGeom>
                          <a:noFill/>
                          <a:ln>
                            <a:noFill/>
                          </a:ln>
                        </pic:spPr>
                      </pic:pic>
                    </a:graphicData>
                  </a:graphic>
                </wp:inline>
              </w:drawing>
            </w:r>
          </w:p>
        </w:tc>
        <w:tc>
          <w:tcPr>
            <w:tcW w:w="1425" w:type="dxa"/>
            <w:gridSpan w:val="2"/>
            <w:tcBorders>
              <w:bottom w:val="single" w:color="auto" w:sz="12" w:space="0"/>
            </w:tcBorders>
            <w:vAlign w:val="center"/>
          </w:tcPr>
          <w:p w14:paraId="1412322F">
            <w:pPr>
              <w:widowControl w:val="0"/>
              <w:ind w:right="-12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984" w:type="dxa"/>
            <w:gridSpan w:val="2"/>
            <w:tcBorders>
              <w:bottom w:val="single" w:color="auto" w:sz="12" w:space="0"/>
              <w:right w:val="single" w:color="auto" w:sz="12" w:space="0"/>
            </w:tcBorders>
            <w:vAlign w:val="center"/>
          </w:tcPr>
          <w:p w14:paraId="12375210">
            <w:pPr>
              <w:widowControl w:val="0"/>
              <w:ind w:right="-12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bl>
    <w:p w14:paraId="5681BD80">
      <w:pPr>
        <w:spacing w:line="100" w:lineRule="exact"/>
        <w:ind w:right="-120"/>
        <w:rPr>
          <w:rFonts w:ascii="Arial" w:hAnsi="Arial" w:eastAsia="黑体"/>
        </w:rPr>
      </w:pPr>
      <w:r>
        <w:br w:type="page"/>
      </w:r>
    </w:p>
    <w:p w14:paraId="69AC2176">
      <w:pPr>
        <w:pStyle w:val="17"/>
        <w:spacing w:before="326" w:beforeLines="100" w:line="360" w:lineRule="auto"/>
        <w:ind w:right="-120"/>
        <w:rPr>
          <w:rFonts w:ascii="黑体" w:hAnsi="宋体"/>
        </w:rPr>
      </w:pPr>
      <w:r>
        <w:rPr>
          <w:rFonts w:hint="eastAsia" w:ascii="黑体" w:hAnsi="宋体"/>
        </w:rPr>
        <w:t>二、课程目标与毕业要求</w:t>
      </w:r>
    </w:p>
    <w:p w14:paraId="1EBCA741">
      <w:pPr>
        <w:pStyle w:val="18"/>
        <w:spacing w:before="81" w:after="163"/>
        <w:ind w:right="-120"/>
      </w:pPr>
      <w:r>
        <w:rPr>
          <w:rFonts w:hint="eastAsia"/>
        </w:rPr>
        <w:t xml:space="preserve">（一）课程目标 </w:t>
      </w:r>
    </w:p>
    <w:tbl>
      <w:tblPr>
        <w:tblStyle w:val="8"/>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259"/>
      </w:tblGrid>
      <w:tr w14:paraId="2CBD7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D745020">
            <w:pPr>
              <w:snapToGrid w:val="0"/>
              <w:ind w:right="-12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6EFFA296">
            <w:pPr>
              <w:snapToGrid w:val="0"/>
              <w:ind w:right="-12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259" w:type="dxa"/>
            <w:vAlign w:val="center"/>
          </w:tcPr>
          <w:p w14:paraId="3EC2D691">
            <w:pPr>
              <w:snapToGrid w:val="0"/>
              <w:ind w:right="-12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D133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7E84363">
            <w:pPr>
              <w:snapToGrid w:val="0"/>
              <w:ind w:right="-120"/>
              <w:jc w:val="center"/>
            </w:pPr>
            <w:r>
              <w:rPr>
                <w:rFonts w:hint="eastAsia" w:ascii="黑体" w:hAnsi="黑体" w:eastAsia="黑体"/>
                <w:bCs/>
                <w:color w:val="000000"/>
                <w:sz w:val="21"/>
                <w:szCs w:val="18"/>
              </w:rPr>
              <w:t>知识目标</w:t>
            </w:r>
          </w:p>
        </w:tc>
        <w:tc>
          <w:tcPr>
            <w:tcW w:w="782" w:type="dxa"/>
            <w:shd w:val="clear" w:color="auto" w:fill="auto"/>
            <w:vAlign w:val="center"/>
          </w:tcPr>
          <w:p w14:paraId="521F3C1B">
            <w:pPr>
              <w:snapToGrid w:val="0"/>
              <w:ind w:right="-12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259" w:type="dxa"/>
            <w:vAlign w:val="center"/>
          </w:tcPr>
          <w:p w14:paraId="253AD57F">
            <w:pPr>
              <w:pStyle w:val="15"/>
              <w:ind w:right="-120"/>
              <w:jc w:val="left"/>
              <w:rPr>
                <w:rFonts w:ascii="宋体" w:hAnsi="宋体"/>
                <w:bCs/>
              </w:rPr>
            </w:pPr>
            <w:r>
              <w:rPr>
                <w:rFonts w:hint="eastAsia" w:ascii="宋体" w:hAnsi="宋体"/>
                <w:bCs/>
              </w:rPr>
              <w:t>知道健康教育和健康促进的基本概念</w:t>
            </w:r>
          </w:p>
        </w:tc>
      </w:tr>
      <w:tr w14:paraId="7C0F1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AACBD9C">
            <w:pPr>
              <w:pStyle w:val="15"/>
              <w:ind w:right="-120"/>
              <w:rPr>
                <w:bCs/>
              </w:rPr>
            </w:pPr>
          </w:p>
        </w:tc>
        <w:tc>
          <w:tcPr>
            <w:tcW w:w="782" w:type="dxa"/>
            <w:shd w:val="clear" w:color="auto" w:fill="auto"/>
            <w:vAlign w:val="center"/>
          </w:tcPr>
          <w:p w14:paraId="5297E7A9">
            <w:pPr>
              <w:snapToGrid w:val="0"/>
              <w:ind w:right="-12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259" w:type="dxa"/>
            <w:vAlign w:val="center"/>
          </w:tcPr>
          <w:p w14:paraId="13893BB8">
            <w:pPr>
              <w:pStyle w:val="15"/>
              <w:ind w:right="-120"/>
              <w:jc w:val="left"/>
              <w:rPr>
                <w:rFonts w:ascii="宋体" w:hAnsi="宋体"/>
                <w:bCs/>
              </w:rPr>
            </w:pPr>
            <w:r>
              <w:rPr>
                <w:rFonts w:hint="eastAsia" w:ascii="宋体" w:hAnsi="宋体"/>
                <w:bCs/>
              </w:rPr>
              <w:t>理解健康教育的六个基本理论（个体，群体和社区三个层面）</w:t>
            </w:r>
          </w:p>
        </w:tc>
      </w:tr>
      <w:tr w14:paraId="5BF25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CDC8342">
            <w:pPr>
              <w:snapToGrid w:val="0"/>
              <w:ind w:right="-120"/>
              <w:jc w:val="center"/>
            </w:pPr>
            <w:r>
              <w:rPr>
                <w:rFonts w:hint="eastAsia" w:ascii="黑体" w:hAnsi="黑体" w:eastAsia="黑体"/>
                <w:bCs/>
                <w:color w:val="000000"/>
                <w:sz w:val="21"/>
                <w:szCs w:val="18"/>
              </w:rPr>
              <w:t>技能目标</w:t>
            </w:r>
          </w:p>
        </w:tc>
        <w:tc>
          <w:tcPr>
            <w:tcW w:w="782" w:type="dxa"/>
            <w:shd w:val="clear" w:color="auto" w:fill="auto"/>
            <w:vAlign w:val="center"/>
          </w:tcPr>
          <w:p w14:paraId="67C2804B">
            <w:pPr>
              <w:snapToGrid w:val="0"/>
              <w:ind w:right="-12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259" w:type="dxa"/>
            <w:vAlign w:val="center"/>
          </w:tcPr>
          <w:p w14:paraId="07DE0A02">
            <w:pPr>
              <w:pStyle w:val="15"/>
              <w:ind w:right="-120"/>
              <w:jc w:val="left"/>
              <w:rPr>
                <w:rFonts w:ascii="宋体" w:hAnsi="宋体"/>
                <w:bCs/>
              </w:rPr>
            </w:pPr>
            <w:r>
              <w:rPr>
                <w:rFonts w:hint="eastAsia" w:ascii="宋体" w:hAnsi="宋体"/>
                <w:bCs/>
              </w:rPr>
              <w:t>运用健康教育的基本理论分析和解读现实生活中的实际问题</w:t>
            </w:r>
          </w:p>
        </w:tc>
      </w:tr>
      <w:tr w14:paraId="458CD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93BF406">
            <w:pPr>
              <w:pStyle w:val="15"/>
              <w:ind w:right="-120"/>
              <w:rPr>
                <w:rFonts w:ascii="宋体" w:hAnsi="宋体"/>
              </w:rPr>
            </w:pPr>
          </w:p>
        </w:tc>
        <w:tc>
          <w:tcPr>
            <w:tcW w:w="782" w:type="dxa"/>
            <w:shd w:val="clear" w:color="auto" w:fill="auto"/>
            <w:vAlign w:val="center"/>
          </w:tcPr>
          <w:p w14:paraId="0211E71F">
            <w:pPr>
              <w:snapToGrid w:val="0"/>
              <w:ind w:right="-12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259" w:type="dxa"/>
            <w:vAlign w:val="center"/>
          </w:tcPr>
          <w:p w14:paraId="2ABC752F">
            <w:pPr>
              <w:pStyle w:val="15"/>
              <w:ind w:right="-120"/>
              <w:jc w:val="left"/>
              <w:rPr>
                <w:rFonts w:ascii="宋体" w:hAnsi="宋体"/>
                <w:bCs/>
              </w:rPr>
            </w:pPr>
            <w:r>
              <w:rPr>
                <w:rFonts w:hint="eastAsia" w:ascii="宋体" w:hAnsi="宋体"/>
                <w:bCs/>
              </w:rPr>
              <w:t>学会并运用适当的健康教育教学方法进行健康教育方案的设计、实</w:t>
            </w:r>
          </w:p>
          <w:p w14:paraId="480A8CDA">
            <w:pPr>
              <w:pStyle w:val="15"/>
              <w:ind w:right="-120"/>
              <w:jc w:val="left"/>
              <w:rPr>
                <w:rFonts w:ascii="宋体" w:hAnsi="宋体"/>
                <w:bCs/>
              </w:rPr>
            </w:pPr>
            <w:r>
              <w:rPr>
                <w:rFonts w:hint="eastAsia" w:ascii="宋体" w:hAnsi="宋体"/>
                <w:bCs/>
              </w:rPr>
              <w:t>施和评价，特别是根据老年人的生理、心理和社会特点，分析老年</w:t>
            </w:r>
          </w:p>
          <w:p w14:paraId="53466626">
            <w:pPr>
              <w:pStyle w:val="15"/>
              <w:ind w:right="-120"/>
              <w:jc w:val="left"/>
              <w:rPr>
                <w:rFonts w:ascii="宋体" w:hAnsi="宋体"/>
                <w:bCs/>
              </w:rPr>
            </w:pPr>
            <w:r>
              <w:rPr>
                <w:rFonts w:hint="eastAsia" w:ascii="宋体" w:hAnsi="宋体"/>
                <w:bCs/>
              </w:rPr>
              <w:t>人需求，并采用适当的健康教育策略</w:t>
            </w:r>
          </w:p>
        </w:tc>
      </w:tr>
      <w:tr w14:paraId="16E78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7C3C7DA">
            <w:pPr>
              <w:snapToGrid w:val="0"/>
              <w:ind w:right="-12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AF67717">
            <w:pPr>
              <w:snapToGrid w:val="0"/>
              <w:ind w:right="-12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F383638">
            <w:pPr>
              <w:snapToGrid w:val="0"/>
              <w:ind w:right="-12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259" w:type="dxa"/>
            <w:vAlign w:val="center"/>
          </w:tcPr>
          <w:p w14:paraId="280CA441">
            <w:pPr>
              <w:pStyle w:val="15"/>
              <w:ind w:right="-120"/>
              <w:jc w:val="left"/>
              <w:rPr>
                <w:rFonts w:ascii="宋体" w:hAnsi="宋体"/>
                <w:bCs/>
              </w:rPr>
            </w:pPr>
            <w:r>
              <w:rPr>
                <w:rFonts w:hint="eastAsia" w:ascii="宋体" w:hAnsi="宋体"/>
                <w:bCs/>
              </w:rPr>
              <w:t>培养学生以保障和促进大众健康为己任的家国情怀。</w:t>
            </w:r>
          </w:p>
        </w:tc>
      </w:tr>
      <w:tr w14:paraId="1EC48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5F5E1A3">
            <w:pPr>
              <w:pStyle w:val="15"/>
              <w:ind w:right="-120"/>
              <w:rPr>
                <w:rFonts w:ascii="宋体" w:hAnsi="宋体"/>
              </w:rPr>
            </w:pPr>
          </w:p>
        </w:tc>
        <w:tc>
          <w:tcPr>
            <w:tcW w:w="782" w:type="dxa"/>
            <w:shd w:val="clear" w:color="auto" w:fill="auto"/>
            <w:vAlign w:val="center"/>
          </w:tcPr>
          <w:p w14:paraId="281D5E33">
            <w:pPr>
              <w:snapToGrid w:val="0"/>
              <w:ind w:right="-12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259" w:type="dxa"/>
            <w:vAlign w:val="center"/>
          </w:tcPr>
          <w:p w14:paraId="1A6D5DDA">
            <w:pPr>
              <w:pStyle w:val="15"/>
              <w:ind w:right="-120"/>
              <w:jc w:val="left"/>
              <w:rPr>
                <w:rFonts w:hint="eastAsia" w:ascii="宋体" w:hAnsi="宋体"/>
                <w:bCs/>
              </w:rPr>
            </w:pPr>
            <w:r>
              <w:rPr>
                <w:rFonts w:hint="eastAsia" w:ascii="宋体" w:hAnsi="宋体"/>
                <w:bCs/>
              </w:rPr>
              <w:t>培养学生养成良好的饮食、卫生习惯，确立积极、健康的生活态度，</w:t>
            </w:r>
          </w:p>
          <w:p w14:paraId="0FC95275">
            <w:pPr>
              <w:pStyle w:val="15"/>
              <w:ind w:right="-120"/>
              <w:jc w:val="left"/>
              <w:rPr>
                <w:rFonts w:ascii="宋体" w:hAnsi="宋体"/>
                <w:bCs/>
              </w:rPr>
            </w:pPr>
            <w:r>
              <w:rPr>
                <w:rFonts w:hint="eastAsia" w:ascii="宋体" w:hAnsi="宋体"/>
                <w:bCs/>
              </w:rPr>
              <w:t>做好健康宣教工作。</w:t>
            </w:r>
          </w:p>
        </w:tc>
      </w:tr>
    </w:tbl>
    <w:p w14:paraId="2EF4B3A4">
      <w:pPr>
        <w:pStyle w:val="18"/>
        <w:spacing w:before="163" w:beforeLines="50" w:after="163"/>
        <w:ind w:right="-120"/>
      </w:pPr>
      <w:r>
        <w:rPr>
          <w:rFonts w:hint="eastAsia"/>
        </w:rPr>
        <w:t>（二）课程支撑的毕业要求</w:t>
      </w:r>
    </w:p>
    <w:tbl>
      <w:tblPr>
        <w:tblStyle w:val="9"/>
        <w:tblW w:w="0" w:type="auto"/>
        <w:tblInd w:w="124"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87"/>
      </w:tblGrid>
      <w:tr w14:paraId="0CD300C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87" w:type="dxa"/>
          </w:tcPr>
          <w:p w14:paraId="56085DD0">
            <w:pPr>
              <w:pStyle w:val="15"/>
              <w:widowControl w:val="0"/>
              <w:ind w:right="-120"/>
              <w:jc w:val="left"/>
              <w:rPr>
                <w:rFonts w:ascii="宋体" w:hAnsi="宋体"/>
                <w:bCs/>
              </w:rPr>
            </w:pPr>
            <w:r>
              <w:rPr>
                <w:rFonts w:ascii="宋体" w:hAnsi="宋体"/>
                <w:b/>
              </w:rPr>
              <w:t>LO1品德修养：</w:t>
            </w:r>
            <w:r>
              <w:rPr>
                <w:rFonts w:ascii="宋体" w:hAnsi="宋体"/>
                <w:bCs/>
              </w:rPr>
              <w:t>拥护</w:t>
            </w:r>
            <w:r>
              <w:rPr>
                <w:rFonts w:hint="eastAsia" w:ascii="宋体" w:hAnsi="宋体"/>
                <w:bCs/>
              </w:rPr>
              <w:t>中国共产</w:t>
            </w:r>
            <w:r>
              <w:rPr>
                <w:rFonts w:ascii="宋体" w:hAnsi="宋体"/>
                <w:bCs/>
              </w:rPr>
              <w:t>党的领导，坚定理想信念，自觉涵养和积极弘扬社会主义核心价值观，增强政治认同、厚植家国情怀、遵守法律法规、传承雷锋精神，践行</w:t>
            </w:r>
          </w:p>
          <w:p w14:paraId="595E66EC">
            <w:pPr>
              <w:pStyle w:val="15"/>
              <w:widowControl w:val="0"/>
              <w:ind w:right="-120"/>
              <w:jc w:val="left"/>
              <w:rPr>
                <w:rFonts w:ascii="宋体" w:hAnsi="宋体"/>
                <w:bCs/>
              </w:rPr>
            </w:pPr>
            <w:r>
              <w:rPr>
                <w:rFonts w:hint="eastAsia" w:ascii="宋体" w:hAnsi="宋体"/>
                <w:bCs/>
              </w:rPr>
              <w:t>“感恩、回报、爱心、责任”</w:t>
            </w:r>
            <w:r>
              <w:rPr>
                <w:rFonts w:ascii="宋体" w:hAnsi="宋体"/>
                <w:bCs/>
              </w:rPr>
              <w:t>八字校训，积极服务他人、服务社会、诚信尽责、爱岗</w:t>
            </w:r>
          </w:p>
          <w:p w14:paraId="0FE1B0DC">
            <w:pPr>
              <w:pStyle w:val="15"/>
              <w:widowControl w:val="0"/>
              <w:ind w:right="-120"/>
              <w:jc w:val="left"/>
              <w:rPr>
                <w:rFonts w:ascii="宋体" w:hAnsi="宋体"/>
                <w:bCs/>
              </w:rPr>
            </w:pPr>
            <w:r>
              <w:rPr>
                <w:rFonts w:ascii="宋体" w:hAnsi="宋体"/>
                <w:bCs/>
              </w:rPr>
              <w:t>敬业。</w:t>
            </w:r>
          </w:p>
          <w:p w14:paraId="02384264">
            <w:pPr>
              <w:pStyle w:val="15"/>
              <w:widowControl w:val="0"/>
              <w:ind w:right="-120"/>
              <w:jc w:val="left"/>
              <w:rPr>
                <w:rFonts w:ascii="宋体" w:hAnsi="宋体"/>
                <w:bCs/>
              </w:rPr>
            </w:pPr>
            <w:r>
              <w:rPr>
                <w:rFonts w:hint="eastAsia" w:ascii="宋体" w:hAnsi="宋体"/>
                <w:bCs/>
              </w:rPr>
              <w:t>③</w:t>
            </w:r>
            <w:r>
              <w:rPr>
                <w:rFonts w:ascii="宋体" w:hAnsi="宋体"/>
                <w:bCs/>
              </w:rPr>
              <w:t>奉献社会，富有爱心，懂得感恩，自觉传承和弘扬雷锋精神，具有服务社会的意愿</w:t>
            </w:r>
          </w:p>
          <w:p w14:paraId="38F4B970">
            <w:pPr>
              <w:pStyle w:val="15"/>
              <w:widowControl w:val="0"/>
              <w:ind w:right="-120"/>
              <w:jc w:val="left"/>
              <w:rPr>
                <w:rFonts w:ascii="宋体" w:hAnsi="宋体"/>
                <w:bCs/>
              </w:rPr>
            </w:pPr>
            <w:r>
              <w:rPr>
                <w:rFonts w:ascii="宋体" w:hAnsi="宋体"/>
                <w:bCs/>
              </w:rPr>
              <w:t>和行动，积极参加志愿者服务。</w:t>
            </w:r>
          </w:p>
        </w:tc>
      </w:tr>
      <w:tr w14:paraId="2EEAED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8287" w:type="dxa"/>
          </w:tcPr>
          <w:p w14:paraId="5116C7BF">
            <w:pPr>
              <w:pStyle w:val="15"/>
              <w:widowControl w:val="0"/>
              <w:ind w:right="-120"/>
              <w:jc w:val="left"/>
              <w:rPr>
                <w:rFonts w:ascii="宋体" w:hAnsi="宋体"/>
                <w:bCs/>
              </w:rPr>
            </w:pPr>
            <w:r>
              <w:rPr>
                <w:rFonts w:ascii="宋体" w:hAnsi="宋体"/>
                <w:b/>
              </w:rPr>
              <w:t>LO2专业能力：</w:t>
            </w:r>
            <w:r>
              <w:rPr>
                <w:rFonts w:hint="eastAsia" w:ascii="宋体" w:hAnsi="宋体"/>
                <w:bCs/>
              </w:rPr>
              <w:t>掌握管理学、社会学、护理学等学科基础理论和专门知识，能够熟练运用养老机构经营管理、老年健康管理、老年照护等专业技能，具备现代养老服务管理</w:t>
            </w:r>
          </w:p>
          <w:p w14:paraId="6F72B1CC">
            <w:pPr>
              <w:pStyle w:val="15"/>
              <w:widowControl w:val="0"/>
              <w:ind w:right="-120"/>
              <w:jc w:val="left"/>
              <w:rPr>
                <w:rFonts w:ascii="宋体" w:hAnsi="宋体"/>
                <w:bCs/>
              </w:rPr>
            </w:pPr>
            <w:r>
              <w:rPr>
                <w:rFonts w:hint="eastAsia" w:ascii="宋体" w:hAnsi="宋体"/>
                <w:bCs/>
              </w:rPr>
              <w:t>的理念和素养。</w:t>
            </w:r>
          </w:p>
          <w:p w14:paraId="783FBF42">
            <w:pPr>
              <w:pStyle w:val="15"/>
              <w:widowControl w:val="0"/>
              <w:ind w:right="-120"/>
              <w:jc w:val="left"/>
              <w:rPr>
                <w:rFonts w:ascii="宋体" w:hAnsi="宋体"/>
                <w:bCs/>
              </w:rPr>
            </w:pPr>
            <w:r>
              <w:rPr>
                <w:rFonts w:hint="eastAsia" w:ascii="宋体" w:hAnsi="宋体"/>
                <w:bCs/>
              </w:rPr>
              <w:t>⑤健康教育能力：能确定老年人的健康需求，并采用合适的健康教育策略。</w:t>
            </w:r>
          </w:p>
        </w:tc>
      </w:tr>
      <w:tr w14:paraId="21D1CC9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87" w:type="dxa"/>
          </w:tcPr>
          <w:p w14:paraId="11D15EC8">
            <w:pPr>
              <w:pStyle w:val="15"/>
              <w:widowControl w:val="0"/>
              <w:ind w:right="-120"/>
              <w:jc w:val="left"/>
              <w:rPr>
                <w:rFonts w:ascii="宋体" w:hAnsi="宋体"/>
                <w:bCs/>
              </w:rPr>
            </w:pPr>
            <w:r>
              <w:rPr>
                <w:rFonts w:ascii="宋体" w:hAnsi="宋体"/>
                <w:b/>
              </w:rPr>
              <w:t>LO3表达沟通：</w:t>
            </w:r>
            <w:r>
              <w:rPr>
                <w:rFonts w:ascii="宋体" w:hAnsi="宋体"/>
                <w:bCs/>
              </w:rPr>
              <w:t>理解他人的观点，尊重他人的价值观，能在不同场合用书面或口头形式进行有效沟通。</w:t>
            </w:r>
          </w:p>
          <w:p w14:paraId="3CA63AFF">
            <w:pPr>
              <w:pStyle w:val="15"/>
              <w:widowControl w:val="0"/>
              <w:ind w:right="-120"/>
              <w:jc w:val="left"/>
              <w:rPr>
                <w:rFonts w:ascii="宋体" w:hAnsi="宋体"/>
                <w:bCs/>
              </w:rPr>
            </w:pPr>
            <w:r>
              <w:rPr>
                <w:rFonts w:hint="eastAsia" w:ascii="宋体" w:hAnsi="宋体"/>
                <w:bCs/>
              </w:rPr>
              <w:t>①</w:t>
            </w:r>
            <w:r>
              <w:rPr>
                <w:rFonts w:ascii="宋体" w:hAnsi="宋体"/>
                <w:bCs/>
              </w:rPr>
              <w:t>倾听他人意见、尊重他人观点、分析他人需求。</w:t>
            </w:r>
          </w:p>
        </w:tc>
      </w:tr>
      <w:tr w14:paraId="43629E7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87" w:type="dxa"/>
          </w:tcPr>
          <w:p w14:paraId="134FFA28">
            <w:pPr>
              <w:pStyle w:val="15"/>
              <w:widowControl w:val="0"/>
              <w:ind w:right="-120"/>
              <w:jc w:val="left"/>
              <w:rPr>
                <w:rFonts w:ascii="宋体" w:hAnsi="宋体"/>
                <w:bCs/>
              </w:rPr>
            </w:pPr>
            <w:r>
              <w:rPr>
                <w:rFonts w:hint="eastAsia" w:ascii="宋体" w:hAnsi="宋体"/>
                <w:b/>
              </w:rPr>
              <w:t>LO5健康发展：</w:t>
            </w:r>
            <w:r>
              <w:rPr>
                <w:rFonts w:hint="eastAsia" w:ascii="宋体" w:hAnsi="宋体"/>
                <w:bCs/>
              </w:rPr>
              <w:t>懂得审美、热爱劳动、为人热忱、身心健康、耐挫折，具有可持续发展的能力。</w:t>
            </w:r>
          </w:p>
          <w:p w14:paraId="3E2A27F1">
            <w:pPr>
              <w:pStyle w:val="15"/>
              <w:widowControl w:val="0"/>
              <w:ind w:right="-120"/>
              <w:jc w:val="left"/>
              <w:rPr>
                <w:rFonts w:ascii="宋体" w:hAnsi="宋体"/>
                <w:bCs/>
              </w:rPr>
            </w:pPr>
            <w:r>
              <w:rPr>
                <w:rFonts w:hint="eastAsia" w:ascii="宋体" w:hAnsi="宋体"/>
                <w:bCs/>
              </w:rPr>
              <w:t>①身体健康，具有良好的卫生习惯，积极参加体育活动。</w:t>
            </w:r>
          </w:p>
          <w:p w14:paraId="1E224495">
            <w:pPr>
              <w:pStyle w:val="15"/>
              <w:widowControl w:val="0"/>
              <w:ind w:right="-120"/>
              <w:jc w:val="left"/>
              <w:rPr>
                <w:rFonts w:ascii="宋体" w:hAnsi="宋体"/>
                <w:sz w:val="20"/>
                <w:szCs w:val="20"/>
              </w:rPr>
            </w:pPr>
            <w:r>
              <w:rPr>
                <w:rFonts w:hint="eastAsia" w:ascii="宋体" w:hAnsi="宋体"/>
                <w:bCs/>
              </w:rPr>
              <w:t>②心理健康，学习和参与心理调适各项活动，耐挫折，能承受学习和生活中的压力。</w:t>
            </w:r>
          </w:p>
        </w:tc>
      </w:tr>
    </w:tbl>
    <w:p w14:paraId="5364069A">
      <w:pPr>
        <w:pStyle w:val="18"/>
        <w:spacing w:before="163" w:beforeLines="50" w:after="163"/>
        <w:ind w:right="-120"/>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85"/>
        <w:gridCol w:w="632"/>
        <w:gridCol w:w="763"/>
        <w:gridCol w:w="5152"/>
        <w:gridCol w:w="1044"/>
      </w:tblGrid>
      <w:tr w14:paraId="3B2F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885" w:type="dxa"/>
            <w:tcBorders>
              <w:top w:val="single" w:color="auto" w:sz="12" w:space="0"/>
              <w:left w:val="single" w:color="auto" w:sz="12" w:space="0"/>
              <w:right w:val="single" w:color="auto" w:sz="4" w:space="0"/>
            </w:tcBorders>
            <w:shd w:val="clear" w:color="auto" w:fill="auto"/>
            <w:vAlign w:val="center"/>
          </w:tcPr>
          <w:p w14:paraId="5221A9FE">
            <w:pPr>
              <w:pStyle w:val="14"/>
              <w:ind w:right="-120"/>
              <w:rPr>
                <w:szCs w:val="16"/>
              </w:rPr>
            </w:pPr>
            <w:r>
              <w:rPr>
                <w:rFonts w:hint="eastAsia" w:ascii="黑体" w:hAnsi="黑体"/>
                <w:szCs w:val="18"/>
              </w:rPr>
              <w:t>毕业要求</w:t>
            </w:r>
          </w:p>
        </w:tc>
        <w:tc>
          <w:tcPr>
            <w:tcW w:w="632" w:type="dxa"/>
            <w:tcBorders>
              <w:top w:val="single" w:color="auto" w:sz="12" w:space="0"/>
              <w:left w:val="single" w:color="auto" w:sz="4" w:space="0"/>
            </w:tcBorders>
            <w:vAlign w:val="center"/>
          </w:tcPr>
          <w:p w14:paraId="18778FBE">
            <w:pPr>
              <w:pStyle w:val="14"/>
              <w:ind w:right="-120"/>
              <w:rPr>
                <w:szCs w:val="16"/>
              </w:rPr>
            </w:pPr>
            <w:r>
              <w:rPr>
                <w:rFonts w:hint="eastAsia"/>
                <w:szCs w:val="16"/>
              </w:rPr>
              <w:t>指标点</w:t>
            </w:r>
          </w:p>
        </w:tc>
        <w:tc>
          <w:tcPr>
            <w:tcW w:w="763" w:type="dxa"/>
            <w:tcBorders>
              <w:top w:val="single" w:color="auto" w:sz="12" w:space="0"/>
              <w:right w:val="double" w:color="auto" w:sz="4" w:space="0"/>
            </w:tcBorders>
            <w:shd w:val="clear" w:color="auto" w:fill="auto"/>
            <w:vAlign w:val="center"/>
          </w:tcPr>
          <w:p w14:paraId="089F61FC">
            <w:pPr>
              <w:pStyle w:val="14"/>
              <w:ind w:right="-120"/>
              <w:rPr>
                <w:szCs w:val="16"/>
              </w:rPr>
            </w:pPr>
            <w:r>
              <w:rPr>
                <w:rFonts w:hint="eastAsia"/>
                <w:szCs w:val="16"/>
              </w:rPr>
              <w:t>支撑度</w:t>
            </w:r>
          </w:p>
        </w:tc>
        <w:tc>
          <w:tcPr>
            <w:tcW w:w="5152" w:type="dxa"/>
            <w:tcBorders>
              <w:top w:val="single" w:color="auto" w:sz="12" w:space="0"/>
            </w:tcBorders>
            <w:vAlign w:val="center"/>
          </w:tcPr>
          <w:p w14:paraId="31FDEED1">
            <w:pPr>
              <w:pStyle w:val="14"/>
              <w:ind w:right="-120"/>
              <w:rPr>
                <w:szCs w:val="16"/>
              </w:rPr>
            </w:pPr>
            <w:r>
              <w:rPr>
                <w:rFonts w:hint="eastAsia"/>
                <w:szCs w:val="16"/>
              </w:rPr>
              <w:t>课程目标</w:t>
            </w:r>
          </w:p>
        </w:tc>
        <w:tc>
          <w:tcPr>
            <w:tcW w:w="1044" w:type="dxa"/>
            <w:tcBorders>
              <w:top w:val="single" w:color="auto" w:sz="12" w:space="0"/>
              <w:right w:val="single" w:color="auto" w:sz="12" w:space="0"/>
            </w:tcBorders>
            <w:vAlign w:val="center"/>
          </w:tcPr>
          <w:p w14:paraId="3EE63D2F">
            <w:pPr>
              <w:pStyle w:val="14"/>
              <w:ind w:right="-120"/>
              <w:rPr>
                <w:szCs w:val="16"/>
              </w:rPr>
            </w:pPr>
            <w:r>
              <w:rPr>
                <w:rFonts w:hint="eastAsia"/>
                <w:szCs w:val="16"/>
              </w:rPr>
              <w:t>对指标点的贡献度</w:t>
            </w:r>
          </w:p>
        </w:tc>
      </w:tr>
      <w:tr w14:paraId="1CEF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85" w:type="dxa"/>
            <w:tcBorders>
              <w:left w:val="single" w:color="auto" w:sz="12" w:space="0"/>
              <w:right w:val="single" w:color="auto" w:sz="4" w:space="0"/>
            </w:tcBorders>
            <w:shd w:val="clear" w:color="auto" w:fill="auto"/>
            <w:vAlign w:val="center"/>
          </w:tcPr>
          <w:p w14:paraId="1915115C">
            <w:pPr>
              <w:pStyle w:val="15"/>
              <w:ind w:right="-120"/>
            </w:pPr>
            <w:r>
              <w:rPr>
                <w:rFonts w:ascii="宋体" w:hAnsi="宋体"/>
                <w:b/>
              </w:rPr>
              <w:t>LO1品德修养</w:t>
            </w:r>
          </w:p>
        </w:tc>
        <w:tc>
          <w:tcPr>
            <w:tcW w:w="632" w:type="dxa"/>
            <w:tcBorders>
              <w:left w:val="single" w:color="auto" w:sz="4" w:space="0"/>
            </w:tcBorders>
            <w:vAlign w:val="center"/>
          </w:tcPr>
          <w:p w14:paraId="5F3EFC2E">
            <w:pPr>
              <w:pStyle w:val="15"/>
              <w:ind w:right="-120"/>
              <w:rPr>
                <w:rFonts w:cs="Times New Roman"/>
                <w:bCs/>
              </w:rPr>
            </w:pPr>
            <w:r>
              <w:rPr>
                <w:rFonts w:hint="eastAsia" w:ascii="宋体" w:hAnsi="宋体"/>
                <w:bCs/>
              </w:rPr>
              <w:t>③</w:t>
            </w:r>
          </w:p>
        </w:tc>
        <w:tc>
          <w:tcPr>
            <w:tcW w:w="763" w:type="dxa"/>
            <w:tcBorders>
              <w:right w:val="double" w:color="auto" w:sz="4" w:space="0"/>
            </w:tcBorders>
            <w:shd w:val="clear" w:color="auto" w:fill="auto"/>
            <w:vAlign w:val="center"/>
          </w:tcPr>
          <w:p w14:paraId="486A7BA8">
            <w:pPr>
              <w:pStyle w:val="15"/>
              <w:ind w:right="-120"/>
              <w:rPr>
                <w:rFonts w:ascii="宋体" w:hAnsi="宋体"/>
              </w:rPr>
            </w:pPr>
            <w:r>
              <w:rPr>
                <w:rFonts w:hint="eastAsia" w:ascii="宋体" w:hAnsi="宋体"/>
              </w:rPr>
              <w:t>M</w:t>
            </w:r>
          </w:p>
        </w:tc>
        <w:tc>
          <w:tcPr>
            <w:tcW w:w="5152" w:type="dxa"/>
            <w:vAlign w:val="center"/>
          </w:tcPr>
          <w:p w14:paraId="6BCB00A5">
            <w:pPr>
              <w:pStyle w:val="15"/>
              <w:ind w:right="-120"/>
              <w:jc w:val="both"/>
              <w:rPr>
                <w:rFonts w:ascii="宋体" w:hAnsi="宋体"/>
                <w:bCs/>
              </w:rPr>
            </w:pPr>
            <w:r>
              <w:rPr>
                <w:rFonts w:hint="eastAsia" w:ascii="宋体" w:hAnsi="宋体"/>
                <w:bCs/>
              </w:rPr>
              <w:t>5、培养学生以保障和促进大众健康为己任的家国情怀。</w:t>
            </w:r>
          </w:p>
        </w:tc>
        <w:tc>
          <w:tcPr>
            <w:tcW w:w="1044" w:type="dxa"/>
            <w:tcBorders>
              <w:right w:val="single" w:color="auto" w:sz="12" w:space="0"/>
            </w:tcBorders>
            <w:vAlign w:val="center"/>
          </w:tcPr>
          <w:p w14:paraId="2A27C113">
            <w:pPr>
              <w:pStyle w:val="15"/>
              <w:ind w:right="-120"/>
              <w:rPr>
                <w:rFonts w:ascii="宋体" w:hAnsi="宋体"/>
                <w:bCs/>
              </w:rPr>
            </w:pPr>
            <w:r>
              <w:rPr>
                <w:rFonts w:hint="eastAsia" w:ascii="宋体" w:hAnsi="宋体"/>
                <w:bCs/>
              </w:rPr>
              <w:t>100%</w:t>
            </w:r>
          </w:p>
        </w:tc>
      </w:tr>
      <w:tr w14:paraId="3200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6" w:hRule="atLeast"/>
          <w:jc w:val="center"/>
        </w:trPr>
        <w:tc>
          <w:tcPr>
            <w:tcW w:w="885" w:type="dxa"/>
            <w:vMerge w:val="restart"/>
            <w:tcBorders>
              <w:left w:val="single" w:color="auto" w:sz="12" w:space="0"/>
              <w:right w:val="single" w:color="auto" w:sz="4" w:space="0"/>
            </w:tcBorders>
            <w:shd w:val="clear" w:color="auto" w:fill="auto"/>
            <w:vAlign w:val="center"/>
          </w:tcPr>
          <w:p w14:paraId="1C5594F3">
            <w:pPr>
              <w:pStyle w:val="15"/>
              <w:ind w:right="-120"/>
            </w:pPr>
            <w:r>
              <w:rPr>
                <w:rFonts w:ascii="宋体" w:hAnsi="宋体"/>
                <w:b/>
              </w:rPr>
              <w:t>LO2专业能力</w:t>
            </w:r>
          </w:p>
        </w:tc>
        <w:tc>
          <w:tcPr>
            <w:tcW w:w="632" w:type="dxa"/>
            <w:vMerge w:val="restart"/>
            <w:tcBorders>
              <w:left w:val="single" w:color="auto" w:sz="4" w:space="0"/>
            </w:tcBorders>
            <w:vAlign w:val="center"/>
          </w:tcPr>
          <w:p w14:paraId="5C7CA4A7">
            <w:pPr>
              <w:pStyle w:val="15"/>
              <w:ind w:right="-120"/>
              <w:rPr>
                <w:rFonts w:cs="Times New Roman"/>
                <w:bCs/>
              </w:rPr>
            </w:pPr>
            <w:r>
              <w:rPr>
                <w:rFonts w:hint="eastAsia" w:ascii="宋体" w:hAnsi="宋体"/>
                <w:bCs/>
              </w:rPr>
              <w:t>⑤</w:t>
            </w:r>
          </w:p>
        </w:tc>
        <w:tc>
          <w:tcPr>
            <w:tcW w:w="763" w:type="dxa"/>
            <w:vMerge w:val="restart"/>
            <w:tcBorders>
              <w:right w:val="double" w:color="auto" w:sz="4" w:space="0"/>
            </w:tcBorders>
            <w:shd w:val="clear" w:color="auto" w:fill="auto"/>
            <w:vAlign w:val="center"/>
          </w:tcPr>
          <w:p w14:paraId="0962F7C9">
            <w:pPr>
              <w:pStyle w:val="15"/>
              <w:ind w:right="-120"/>
              <w:rPr>
                <w:rFonts w:ascii="宋体" w:hAnsi="宋体"/>
              </w:rPr>
            </w:pPr>
            <w:r>
              <w:rPr>
                <w:rFonts w:hint="eastAsia" w:ascii="宋体" w:hAnsi="宋体"/>
              </w:rPr>
              <w:t>H</w:t>
            </w:r>
          </w:p>
        </w:tc>
        <w:tc>
          <w:tcPr>
            <w:tcW w:w="5152" w:type="dxa"/>
            <w:vAlign w:val="center"/>
          </w:tcPr>
          <w:p w14:paraId="62C14466">
            <w:pPr>
              <w:pStyle w:val="15"/>
              <w:numPr>
                <w:ilvl w:val="0"/>
                <w:numId w:val="2"/>
              </w:numPr>
              <w:ind w:right="-120"/>
              <w:jc w:val="left"/>
              <w:rPr>
                <w:rFonts w:hint="eastAsia" w:ascii="宋体" w:hAnsi="宋体"/>
                <w:bCs/>
              </w:rPr>
            </w:pPr>
            <w:r>
              <w:rPr>
                <w:rFonts w:hint="eastAsia" w:ascii="宋体" w:hAnsi="宋体"/>
                <w:bCs/>
              </w:rPr>
              <w:t>学会并运用适当的健康教育教学方法进行健康教育</w:t>
            </w:r>
          </w:p>
          <w:p w14:paraId="7F145FAA">
            <w:pPr>
              <w:pStyle w:val="15"/>
              <w:numPr>
                <w:ilvl w:val="0"/>
                <w:numId w:val="0"/>
              </w:numPr>
              <w:ind w:right="-120" w:rightChars="0"/>
              <w:jc w:val="left"/>
              <w:rPr>
                <w:rFonts w:ascii="宋体" w:hAnsi="宋体"/>
                <w:bCs/>
              </w:rPr>
            </w:pPr>
            <w:r>
              <w:rPr>
                <w:rFonts w:hint="eastAsia" w:ascii="宋体" w:hAnsi="宋体"/>
                <w:bCs/>
              </w:rPr>
              <w:t>方案的设计、实施和评价，特别是根据老年人的生理、心理和社会特点，分析老年人需求，并采用适当的健康教育策略</w:t>
            </w:r>
          </w:p>
        </w:tc>
        <w:tc>
          <w:tcPr>
            <w:tcW w:w="1044" w:type="dxa"/>
            <w:tcBorders>
              <w:right w:val="single" w:color="auto" w:sz="12" w:space="0"/>
            </w:tcBorders>
            <w:vAlign w:val="center"/>
          </w:tcPr>
          <w:p w14:paraId="6E9540F8">
            <w:pPr>
              <w:pStyle w:val="15"/>
              <w:ind w:right="-120"/>
              <w:rPr>
                <w:rFonts w:ascii="宋体" w:hAnsi="宋体"/>
                <w:bCs/>
              </w:rPr>
            </w:pPr>
            <w:r>
              <w:rPr>
                <w:rFonts w:hint="eastAsia" w:ascii="宋体" w:hAnsi="宋体"/>
                <w:bCs/>
              </w:rPr>
              <w:t>80%</w:t>
            </w:r>
          </w:p>
        </w:tc>
      </w:tr>
      <w:tr w14:paraId="799C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85" w:type="dxa"/>
            <w:vMerge w:val="continue"/>
            <w:tcBorders>
              <w:left w:val="single" w:color="auto" w:sz="12" w:space="0"/>
              <w:right w:val="single" w:color="auto" w:sz="4" w:space="0"/>
            </w:tcBorders>
            <w:shd w:val="clear" w:color="auto" w:fill="auto"/>
            <w:vAlign w:val="center"/>
          </w:tcPr>
          <w:p w14:paraId="471B2CA7">
            <w:pPr>
              <w:pStyle w:val="15"/>
              <w:ind w:right="-120"/>
            </w:pPr>
          </w:p>
        </w:tc>
        <w:tc>
          <w:tcPr>
            <w:tcW w:w="632" w:type="dxa"/>
            <w:vMerge w:val="continue"/>
            <w:tcBorders>
              <w:left w:val="single" w:color="auto" w:sz="4" w:space="0"/>
            </w:tcBorders>
            <w:vAlign w:val="center"/>
          </w:tcPr>
          <w:p w14:paraId="1045121F">
            <w:pPr>
              <w:pStyle w:val="15"/>
              <w:ind w:right="-120"/>
              <w:rPr>
                <w:rFonts w:cs="Times New Roman"/>
                <w:bCs/>
              </w:rPr>
            </w:pPr>
          </w:p>
        </w:tc>
        <w:tc>
          <w:tcPr>
            <w:tcW w:w="763" w:type="dxa"/>
            <w:vMerge w:val="continue"/>
            <w:tcBorders>
              <w:right w:val="double" w:color="auto" w:sz="4" w:space="0"/>
            </w:tcBorders>
            <w:shd w:val="clear" w:color="auto" w:fill="auto"/>
            <w:vAlign w:val="center"/>
          </w:tcPr>
          <w:p w14:paraId="0CA91875">
            <w:pPr>
              <w:pStyle w:val="15"/>
              <w:ind w:right="-120"/>
              <w:rPr>
                <w:rFonts w:ascii="宋体" w:hAnsi="宋体"/>
              </w:rPr>
            </w:pPr>
          </w:p>
        </w:tc>
        <w:tc>
          <w:tcPr>
            <w:tcW w:w="5152" w:type="dxa"/>
            <w:vAlign w:val="center"/>
          </w:tcPr>
          <w:p w14:paraId="3582DAFC">
            <w:pPr>
              <w:pStyle w:val="15"/>
              <w:ind w:right="-120"/>
              <w:jc w:val="left"/>
              <w:rPr>
                <w:rFonts w:ascii="宋体" w:hAnsi="宋体"/>
                <w:bCs/>
              </w:rPr>
            </w:pPr>
            <w:r>
              <w:rPr>
                <w:rFonts w:hint="eastAsia" w:ascii="宋体" w:hAnsi="宋体"/>
                <w:bCs/>
              </w:rPr>
              <w:t>1、知道健康教育和健康促进的基本概念</w:t>
            </w:r>
          </w:p>
        </w:tc>
        <w:tc>
          <w:tcPr>
            <w:tcW w:w="1044" w:type="dxa"/>
            <w:tcBorders>
              <w:right w:val="single" w:color="auto" w:sz="12" w:space="0"/>
            </w:tcBorders>
            <w:vAlign w:val="center"/>
          </w:tcPr>
          <w:p w14:paraId="5E8535D3">
            <w:pPr>
              <w:pStyle w:val="15"/>
              <w:ind w:right="-120"/>
              <w:rPr>
                <w:rFonts w:ascii="宋体" w:hAnsi="宋体"/>
                <w:bCs/>
              </w:rPr>
            </w:pPr>
            <w:r>
              <w:rPr>
                <w:rFonts w:hint="eastAsia" w:ascii="宋体" w:hAnsi="宋体"/>
                <w:bCs/>
              </w:rPr>
              <w:t>20%</w:t>
            </w:r>
          </w:p>
        </w:tc>
      </w:tr>
      <w:tr w14:paraId="18D4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2" w:hRule="atLeast"/>
          <w:jc w:val="center"/>
        </w:trPr>
        <w:tc>
          <w:tcPr>
            <w:tcW w:w="885" w:type="dxa"/>
            <w:tcBorders>
              <w:left w:val="single" w:color="auto" w:sz="12" w:space="0"/>
              <w:right w:val="single" w:color="auto" w:sz="4" w:space="0"/>
            </w:tcBorders>
            <w:shd w:val="clear" w:color="auto" w:fill="auto"/>
            <w:vAlign w:val="center"/>
          </w:tcPr>
          <w:p w14:paraId="06D9EDD1">
            <w:pPr>
              <w:pStyle w:val="15"/>
              <w:ind w:right="-120"/>
            </w:pPr>
            <w:r>
              <w:rPr>
                <w:rFonts w:ascii="宋体" w:hAnsi="宋体"/>
                <w:b/>
              </w:rPr>
              <w:t>LO3表达沟通</w:t>
            </w:r>
          </w:p>
        </w:tc>
        <w:tc>
          <w:tcPr>
            <w:tcW w:w="632" w:type="dxa"/>
            <w:tcBorders>
              <w:left w:val="single" w:color="auto" w:sz="4" w:space="0"/>
            </w:tcBorders>
            <w:vAlign w:val="center"/>
          </w:tcPr>
          <w:p w14:paraId="356499F4">
            <w:pPr>
              <w:pStyle w:val="15"/>
              <w:ind w:right="-120"/>
              <w:rPr>
                <w:rFonts w:cs="Times New Roman"/>
                <w:bCs/>
              </w:rPr>
            </w:pPr>
            <w:r>
              <w:rPr>
                <w:rFonts w:hint="eastAsia" w:ascii="宋体" w:hAnsi="宋体"/>
                <w:bCs/>
              </w:rPr>
              <w:t>①</w:t>
            </w:r>
          </w:p>
        </w:tc>
        <w:tc>
          <w:tcPr>
            <w:tcW w:w="763" w:type="dxa"/>
            <w:tcBorders>
              <w:right w:val="double" w:color="auto" w:sz="4" w:space="0"/>
            </w:tcBorders>
            <w:shd w:val="clear" w:color="auto" w:fill="auto"/>
            <w:vAlign w:val="center"/>
          </w:tcPr>
          <w:p w14:paraId="69570A75">
            <w:pPr>
              <w:pStyle w:val="15"/>
              <w:ind w:right="-120"/>
              <w:rPr>
                <w:rFonts w:ascii="宋体" w:hAnsi="宋体"/>
              </w:rPr>
            </w:pPr>
            <w:r>
              <w:rPr>
                <w:rFonts w:hint="eastAsia" w:ascii="宋体" w:hAnsi="宋体"/>
              </w:rPr>
              <w:t>H</w:t>
            </w:r>
          </w:p>
        </w:tc>
        <w:tc>
          <w:tcPr>
            <w:tcW w:w="5152" w:type="dxa"/>
            <w:vAlign w:val="center"/>
          </w:tcPr>
          <w:p w14:paraId="5398C5E1">
            <w:pPr>
              <w:pStyle w:val="15"/>
              <w:numPr>
                <w:ilvl w:val="0"/>
                <w:numId w:val="3"/>
              </w:numPr>
              <w:ind w:right="-120"/>
              <w:jc w:val="left"/>
              <w:rPr>
                <w:rFonts w:hint="eastAsia" w:ascii="宋体" w:hAnsi="宋体"/>
                <w:bCs/>
              </w:rPr>
            </w:pPr>
            <w:r>
              <w:rPr>
                <w:rFonts w:hint="eastAsia" w:ascii="宋体" w:hAnsi="宋体"/>
                <w:bCs/>
              </w:rPr>
              <w:t>运用健康教育的基本理论分析和解读现实生活中的</w:t>
            </w:r>
          </w:p>
          <w:p w14:paraId="48B785EB">
            <w:pPr>
              <w:pStyle w:val="15"/>
              <w:numPr>
                <w:ilvl w:val="0"/>
                <w:numId w:val="0"/>
              </w:numPr>
              <w:ind w:right="-120" w:rightChars="0"/>
              <w:jc w:val="left"/>
              <w:rPr>
                <w:rFonts w:ascii="宋体" w:hAnsi="宋体"/>
                <w:bCs/>
              </w:rPr>
            </w:pPr>
            <w:r>
              <w:rPr>
                <w:rFonts w:hint="eastAsia" w:ascii="宋体" w:hAnsi="宋体"/>
                <w:bCs/>
              </w:rPr>
              <w:t>实际问题</w:t>
            </w:r>
          </w:p>
        </w:tc>
        <w:tc>
          <w:tcPr>
            <w:tcW w:w="1044" w:type="dxa"/>
            <w:tcBorders>
              <w:right w:val="single" w:color="auto" w:sz="12" w:space="0"/>
            </w:tcBorders>
            <w:vAlign w:val="center"/>
          </w:tcPr>
          <w:p w14:paraId="7B27BE34">
            <w:pPr>
              <w:pStyle w:val="15"/>
              <w:ind w:right="-120"/>
              <w:rPr>
                <w:rFonts w:ascii="宋体" w:hAnsi="宋体"/>
                <w:bCs/>
              </w:rPr>
            </w:pPr>
            <w:r>
              <w:rPr>
                <w:rFonts w:hint="eastAsia" w:ascii="宋体" w:hAnsi="宋体"/>
                <w:bCs/>
              </w:rPr>
              <w:t>100%</w:t>
            </w:r>
          </w:p>
        </w:tc>
      </w:tr>
      <w:tr w14:paraId="7D58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85" w:type="dxa"/>
            <w:vMerge w:val="restart"/>
            <w:tcBorders>
              <w:left w:val="single" w:color="auto" w:sz="12" w:space="0"/>
              <w:right w:val="single" w:color="auto" w:sz="4" w:space="0"/>
            </w:tcBorders>
            <w:shd w:val="clear" w:color="auto" w:fill="auto"/>
          </w:tcPr>
          <w:p w14:paraId="6CEA63C3">
            <w:pPr>
              <w:pStyle w:val="15"/>
              <w:ind w:right="-120"/>
              <w:rPr>
                <w:rFonts w:ascii="宋体" w:hAnsi="宋体"/>
                <w:color w:val="auto"/>
                <w:sz w:val="20"/>
                <w:szCs w:val="20"/>
              </w:rPr>
            </w:pPr>
            <w:r>
              <w:rPr>
                <w:rFonts w:hint="eastAsia" w:ascii="宋体" w:hAnsi="宋体"/>
                <w:b/>
                <w:bCs/>
                <w:sz w:val="20"/>
                <w:szCs w:val="20"/>
              </w:rPr>
              <w:t>LO5健康发展</w:t>
            </w:r>
          </w:p>
        </w:tc>
        <w:tc>
          <w:tcPr>
            <w:tcW w:w="632" w:type="dxa"/>
            <w:tcBorders>
              <w:left w:val="single" w:color="auto" w:sz="4" w:space="0"/>
            </w:tcBorders>
            <w:vAlign w:val="center"/>
          </w:tcPr>
          <w:p w14:paraId="0B19E8EB">
            <w:pPr>
              <w:pStyle w:val="15"/>
              <w:ind w:right="-120"/>
              <w:rPr>
                <w:rFonts w:cs="Times New Roman"/>
                <w:bCs/>
              </w:rPr>
            </w:pPr>
            <w:r>
              <w:rPr>
                <w:rFonts w:hint="eastAsia" w:ascii="宋体" w:hAnsi="宋体"/>
                <w:bCs/>
              </w:rPr>
              <w:t>①</w:t>
            </w:r>
          </w:p>
        </w:tc>
        <w:tc>
          <w:tcPr>
            <w:tcW w:w="763" w:type="dxa"/>
            <w:tcBorders>
              <w:right w:val="double" w:color="auto" w:sz="4" w:space="0"/>
            </w:tcBorders>
            <w:shd w:val="clear" w:color="auto" w:fill="auto"/>
            <w:vAlign w:val="center"/>
          </w:tcPr>
          <w:p w14:paraId="2C0839D7">
            <w:pPr>
              <w:pStyle w:val="15"/>
              <w:ind w:right="-120"/>
              <w:rPr>
                <w:rFonts w:ascii="宋体" w:hAnsi="宋体"/>
              </w:rPr>
            </w:pPr>
            <w:r>
              <w:rPr>
                <w:rFonts w:hint="eastAsia" w:ascii="宋体" w:hAnsi="宋体"/>
              </w:rPr>
              <w:t>H</w:t>
            </w:r>
          </w:p>
        </w:tc>
        <w:tc>
          <w:tcPr>
            <w:tcW w:w="5152" w:type="dxa"/>
            <w:vAlign w:val="center"/>
          </w:tcPr>
          <w:p w14:paraId="346ABE49">
            <w:pPr>
              <w:pStyle w:val="15"/>
              <w:widowControl w:val="0"/>
              <w:numPr>
                <w:ilvl w:val="0"/>
                <w:numId w:val="4"/>
              </w:numPr>
              <w:ind w:right="-120"/>
              <w:jc w:val="left"/>
              <w:rPr>
                <w:rFonts w:hint="eastAsia" w:ascii="宋体" w:hAnsi="宋体"/>
                <w:bCs/>
              </w:rPr>
            </w:pPr>
            <w:r>
              <w:rPr>
                <w:rFonts w:hint="eastAsia" w:ascii="宋体" w:hAnsi="宋体"/>
                <w:bCs/>
              </w:rPr>
              <w:t>培养学生养成良好的饮食、卫生习惯，确立积极、</w:t>
            </w:r>
          </w:p>
          <w:p w14:paraId="7A73B696">
            <w:pPr>
              <w:pStyle w:val="15"/>
              <w:widowControl w:val="0"/>
              <w:numPr>
                <w:ilvl w:val="0"/>
                <w:numId w:val="0"/>
              </w:numPr>
              <w:ind w:right="-120" w:rightChars="0"/>
              <w:jc w:val="left"/>
              <w:rPr>
                <w:rFonts w:ascii="宋体" w:hAnsi="宋体"/>
                <w:bCs/>
              </w:rPr>
            </w:pPr>
            <w:r>
              <w:rPr>
                <w:rFonts w:hint="eastAsia" w:ascii="宋体" w:hAnsi="宋体"/>
                <w:bCs/>
              </w:rPr>
              <w:t>健康的生活态度，做好健康宣教工作。</w:t>
            </w:r>
          </w:p>
        </w:tc>
        <w:tc>
          <w:tcPr>
            <w:tcW w:w="1044" w:type="dxa"/>
            <w:tcBorders>
              <w:right w:val="single" w:color="auto" w:sz="12" w:space="0"/>
            </w:tcBorders>
            <w:vAlign w:val="center"/>
          </w:tcPr>
          <w:p w14:paraId="0A7DFAEF">
            <w:pPr>
              <w:pStyle w:val="15"/>
              <w:ind w:right="-120"/>
              <w:rPr>
                <w:rFonts w:ascii="宋体" w:hAnsi="宋体"/>
                <w:bCs/>
              </w:rPr>
            </w:pPr>
            <w:r>
              <w:rPr>
                <w:rFonts w:hint="eastAsia" w:ascii="宋体" w:hAnsi="宋体"/>
                <w:bCs/>
              </w:rPr>
              <w:t>100%</w:t>
            </w:r>
          </w:p>
        </w:tc>
      </w:tr>
      <w:tr w14:paraId="36DE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85" w:type="dxa"/>
            <w:vMerge w:val="continue"/>
            <w:tcBorders>
              <w:left w:val="single" w:color="auto" w:sz="12" w:space="0"/>
              <w:bottom w:val="single" w:color="auto" w:sz="12" w:space="0"/>
              <w:right w:val="single" w:color="auto" w:sz="4" w:space="0"/>
            </w:tcBorders>
            <w:shd w:val="clear" w:color="auto" w:fill="auto"/>
            <w:vAlign w:val="center"/>
          </w:tcPr>
          <w:p w14:paraId="08F54CC4">
            <w:pPr>
              <w:pStyle w:val="15"/>
              <w:ind w:right="-120"/>
              <w:jc w:val="both"/>
              <w:rPr>
                <w:rFonts w:ascii="宋体" w:hAnsi="宋体"/>
                <w:color w:val="auto"/>
                <w:sz w:val="20"/>
                <w:szCs w:val="20"/>
              </w:rPr>
            </w:pPr>
          </w:p>
        </w:tc>
        <w:tc>
          <w:tcPr>
            <w:tcW w:w="632" w:type="dxa"/>
            <w:tcBorders>
              <w:left w:val="single" w:color="auto" w:sz="4" w:space="0"/>
              <w:bottom w:val="single" w:color="auto" w:sz="12" w:space="0"/>
              <w:right w:val="single" w:color="auto" w:sz="4" w:space="0"/>
            </w:tcBorders>
            <w:vAlign w:val="center"/>
          </w:tcPr>
          <w:p w14:paraId="4328B07B">
            <w:pPr>
              <w:pStyle w:val="15"/>
              <w:ind w:right="-120"/>
              <w:rPr>
                <w:rFonts w:cs="Times New Roman"/>
                <w:bCs/>
              </w:rPr>
            </w:pPr>
            <w:r>
              <w:rPr>
                <w:rFonts w:hint="eastAsia" w:ascii="宋体" w:hAnsi="宋体"/>
                <w:bCs/>
              </w:rPr>
              <w:t>②</w:t>
            </w:r>
          </w:p>
        </w:tc>
        <w:tc>
          <w:tcPr>
            <w:tcW w:w="763" w:type="dxa"/>
            <w:tcBorders>
              <w:left w:val="single" w:color="auto" w:sz="4" w:space="0"/>
              <w:bottom w:val="single" w:color="auto" w:sz="12" w:space="0"/>
              <w:right w:val="double" w:color="auto" w:sz="4" w:space="0"/>
            </w:tcBorders>
            <w:shd w:val="clear" w:color="auto" w:fill="auto"/>
            <w:vAlign w:val="center"/>
          </w:tcPr>
          <w:p w14:paraId="36B397E4">
            <w:pPr>
              <w:pStyle w:val="15"/>
              <w:ind w:right="-120"/>
              <w:rPr>
                <w:rFonts w:ascii="宋体" w:hAnsi="宋体"/>
              </w:rPr>
            </w:pPr>
            <w:r>
              <w:rPr>
                <w:rFonts w:hint="eastAsia" w:ascii="宋体" w:hAnsi="宋体"/>
              </w:rPr>
              <w:t>H</w:t>
            </w:r>
          </w:p>
        </w:tc>
        <w:tc>
          <w:tcPr>
            <w:tcW w:w="5152" w:type="dxa"/>
            <w:tcBorders>
              <w:left w:val="double" w:color="auto" w:sz="4" w:space="0"/>
              <w:bottom w:val="single" w:color="auto" w:sz="12" w:space="0"/>
              <w:right w:val="single" w:color="auto" w:sz="4" w:space="0"/>
            </w:tcBorders>
            <w:vAlign w:val="center"/>
          </w:tcPr>
          <w:p w14:paraId="36BF932A">
            <w:pPr>
              <w:pStyle w:val="15"/>
              <w:numPr>
                <w:ilvl w:val="0"/>
                <w:numId w:val="5"/>
              </w:numPr>
              <w:ind w:right="-120"/>
              <w:jc w:val="left"/>
              <w:rPr>
                <w:rFonts w:hint="eastAsia" w:ascii="宋体" w:hAnsi="宋体"/>
                <w:bCs/>
              </w:rPr>
            </w:pPr>
            <w:r>
              <w:rPr>
                <w:rFonts w:hint="eastAsia" w:ascii="宋体" w:hAnsi="宋体"/>
                <w:bCs/>
              </w:rPr>
              <w:t>理解健康教育的六个基本理论（个体，群体和社区</w:t>
            </w:r>
          </w:p>
          <w:p w14:paraId="111E60DD">
            <w:pPr>
              <w:pStyle w:val="15"/>
              <w:numPr>
                <w:ilvl w:val="0"/>
                <w:numId w:val="0"/>
              </w:numPr>
              <w:ind w:right="-120" w:rightChars="0"/>
              <w:jc w:val="left"/>
              <w:rPr>
                <w:rFonts w:ascii="宋体" w:hAnsi="宋体"/>
                <w:bCs/>
              </w:rPr>
            </w:pPr>
            <w:r>
              <w:rPr>
                <w:rFonts w:hint="eastAsia" w:ascii="宋体" w:hAnsi="宋体"/>
                <w:bCs/>
              </w:rPr>
              <w:t>三个层面）</w:t>
            </w:r>
          </w:p>
        </w:tc>
        <w:tc>
          <w:tcPr>
            <w:tcW w:w="1044" w:type="dxa"/>
            <w:tcBorders>
              <w:left w:val="single" w:color="auto" w:sz="4" w:space="0"/>
              <w:bottom w:val="single" w:color="auto" w:sz="12" w:space="0"/>
              <w:right w:val="single" w:color="auto" w:sz="12" w:space="0"/>
            </w:tcBorders>
            <w:vAlign w:val="center"/>
          </w:tcPr>
          <w:p w14:paraId="1C4A25AA">
            <w:pPr>
              <w:pStyle w:val="15"/>
              <w:ind w:right="-120"/>
              <w:rPr>
                <w:rFonts w:ascii="宋体" w:hAnsi="宋体"/>
                <w:bCs/>
              </w:rPr>
            </w:pPr>
            <w:r>
              <w:rPr>
                <w:rFonts w:hint="eastAsia" w:ascii="宋体" w:hAnsi="宋体"/>
                <w:bCs/>
              </w:rPr>
              <w:t>100%</w:t>
            </w:r>
          </w:p>
        </w:tc>
      </w:tr>
    </w:tbl>
    <w:p w14:paraId="513202C4">
      <w:pPr>
        <w:pStyle w:val="17"/>
        <w:spacing w:before="326" w:beforeLines="100" w:line="360" w:lineRule="auto"/>
        <w:ind w:right="-120"/>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D7E0FE5">
      <w:pPr>
        <w:pStyle w:val="18"/>
        <w:spacing w:before="81" w:after="163"/>
        <w:ind w:right="-120"/>
      </w:pPr>
      <w:r>
        <w:rPr>
          <w:rFonts w:hint="eastAsia"/>
        </w:rPr>
        <w:t>（一）各教学单元预期学习成果与教学内容</w:t>
      </w:r>
    </w:p>
    <w:tbl>
      <w:tblPr>
        <w:tblStyle w:val="9"/>
        <w:tblW w:w="8500" w:type="dxa"/>
        <w:tblInd w:w="-2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00"/>
      </w:tblGrid>
      <w:tr w14:paraId="233F62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8500" w:type="dxa"/>
          </w:tcPr>
          <w:p w14:paraId="6C0C338D">
            <w:pPr>
              <w:pStyle w:val="15"/>
              <w:widowControl w:val="0"/>
              <w:ind w:right="-120"/>
              <w:jc w:val="left"/>
              <w:rPr>
                <w:rFonts w:ascii="宋体" w:hAnsi="宋体"/>
                <w:bCs/>
              </w:rPr>
            </w:pPr>
            <w:bookmarkStart w:id="0" w:name="OLE_LINK5"/>
            <w:bookmarkStart w:id="1" w:name="OLE_LINK6"/>
            <w:r>
              <w:rPr>
                <w:rFonts w:hint="eastAsia" w:ascii="宋体" w:hAnsi="宋体"/>
                <w:bCs/>
              </w:rPr>
              <w:t>第一章  绪论</w:t>
            </w:r>
          </w:p>
          <w:p w14:paraId="03D4F3F5">
            <w:pPr>
              <w:pStyle w:val="15"/>
              <w:widowControl w:val="0"/>
              <w:ind w:right="-120"/>
              <w:jc w:val="left"/>
              <w:rPr>
                <w:rFonts w:ascii="宋体" w:hAnsi="宋体"/>
                <w:b/>
                <w:bCs w:val="0"/>
              </w:rPr>
            </w:pPr>
            <w:r>
              <w:rPr>
                <w:rFonts w:hint="eastAsia" w:ascii="宋体" w:hAnsi="宋体"/>
                <w:b/>
                <w:bCs w:val="0"/>
              </w:rPr>
              <w:t>知识点：</w:t>
            </w:r>
          </w:p>
          <w:p w14:paraId="648C5D4A">
            <w:pPr>
              <w:pStyle w:val="15"/>
              <w:widowControl w:val="0"/>
              <w:ind w:right="-120"/>
              <w:jc w:val="left"/>
              <w:rPr>
                <w:rFonts w:ascii="宋体" w:hAnsi="宋体"/>
                <w:bCs/>
              </w:rPr>
            </w:pPr>
            <w:r>
              <w:rPr>
                <w:rFonts w:hint="eastAsia" w:ascii="宋体" w:hAnsi="宋体"/>
                <w:bCs/>
              </w:rPr>
              <w:t>1.1知道健康教育学的概念、学科性质和研究内容</w:t>
            </w:r>
          </w:p>
          <w:p w14:paraId="0FB2987A">
            <w:pPr>
              <w:pStyle w:val="15"/>
              <w:widowControl w:val="0"/>
              <w:ind w:right="-120"/>
              <w:jc w:val="left"/>
              <w:rPr>
                <w:rFonts w:ascii="宋体" w:hAnsi="宋体"/>
                <w:bCs/>
              </w:rPr>
            </w:pPr>
            <w:r>
              <w:rPr>
                <w:rFonts w:hint="eastAsia" w:ascii="宋体" w:hAnsi="宋体"/>
                <w:bCs/>
              </w:rPr>
              <w:t>1.2知道健康教育学、健康教育、健康促进、增权、健康素养以及健康共治的概念</w:t>
            </w:r>
          </w:p>
          <w:p w14:paraId="6AE608C0">
            <w:pPr>
              <w:pStyle w:val="15"/>
              <w:widowControl w:val="0"/>
              <w:ind w:right="-120"/>
              <w:jc w:val="left"/>
              <w:rPr>
                <w:rFonts w:ascii="宋体" w:hAnsi="宋体"/>
                <w:bCs/>
              </w:rPr>
            </w:pPr>
            <w:r>
              <w:rPr>
                <w:rFonts w:hint="eastAsia" w:ascii="宋体" w:hAnsi="宋体"/>
                <w:bCs/>
              </w:rPr>
              <w:t>1.3理解健康教育和健康促进的概念以及健康促进的五大行动领域和三大行动策略</w:t>
            </w:r>
          </w:p>
          <w:p w14:paraId="21EE8D93">
            <w:pPr>
              <w:pStyle w:val="15"/>
              <w:widowControl w:val="0"/>
              <w:ind w:right="-120"/>
              <w:jc w:val="left"/>
              <w:rPr>
                <w:rFonts w:hint="eastAsia" w:ascii="宋体" w:hAnsi="宋体"/>
                <w:b/>
                <w:bCs w:val="0"/>
              </w:rPr>
            </w:pPr>
            <w:r>
              <w:rPr>
                <w:rFonts w:hint="eastAsia" w:ascii="宋体" w:hAnsi="宋体"/>
                <w:b/>
                <w:bCs w:val="0"/>
              </w:rPr>
              <w:t>能力要求：</w:t>
            </w:r>
          </w:p>
          <w:p w14:paraId="47C67491">
            <w:pPr>
              <w:pStyle w:val="15"/>
              <w:widowControl w:val="0"/>
              <w:ind w:right="-120"/>
              <w:jc w:val="left"/>
              <w:rPr>
                <w:rFonts w:hint="eastAsia" w:ascii="宋体" w:hAnsi="宋体"/>
                <w:bCs/>
              </w:rPr>
            </w:pPr>
            <w:r>
              <w:rPr>
                <w:rFonts w:hint="eastAsia" w:ascii="宋体" w:hAnsi="宋体"/>
                <w:bCs/>
              </w:rPr>
              <w:t>通过分析交叉学科的特点，学会理解交叉学科的能力；通过分析各种近似概念，学会在不</w:t>
            </w:r>
          </w:p>
          <w:p w14:paraId="6D0E0B7C">
            <w:pPr>
              <w:pStyle w:val="15"/>
              <w:widowControl w:val="0"/>
              <w:ind w:right="-120"/>
              <w:jc w:val="left"/>
              <w:rPr>
                <w:rFonts w:ascii="宋体" w:hAnsi="宋体"/>
                <w:bCs/>
              </w:rPr>
            </w:pPr>
            <w:r>
              <w:rPr>
                <w:rFonts w:hint="eastAsia" w:ascii="宋体" w:hAnsi="宋体"/>
                <w:bCs/>
              </w:rPr>
              <w:t>同的情境中运用概念的能力。</w:t>
            </w:r>
          </w:p>
          <w:p w14:paraId="16C2319B">
            <w:pPr>
              <w:pStyle w:val="15"/>
              <w:widowControl w:val="0"/>
              <w:ind w:right="-120"/>
              <w:jc w:val="left"/>
              <w:rPr>
                <w:rFonts w:hint="eastAsia" w:ascii="宋体" w:hAnsi="宋体"/>
                <w:b/>
                <w:bCs w:val="0"/>
              </w:rPr>
            </w:pPr>
            <w:r>
              <w:rPr>
                <w:rFonts w:hint="eastAsia" w:ascii="宋体" w:hAnsi="宋体"/>
                <w:b/>
                <w:bCs w:val="0"/>
              </w:rPr>
              <w:t>教学重点：</w:t>
            </w:r>
          </w:p>
          <w:p w14:paraId="1A1765D2">
            <w:pPr>
              <w:pStyle w:val="15"/>
              <w:widowControl w:val="0"/>
              <w:ind w:right="-120"/>
              <w:jc w:val="left"/>
              <w:rPr>
                <w:rFonts w:hint="eastAsia" w:ascii="宋体" w:hAnsi="宋体"/>
                <w:bCs/>
              </w:rPr>
            </w:pPr>
            <w:r>
              <w:rPr>
                <w:rFonts w:hint="eastAsia" w:ascii="宋体" w:hAnsi="宋体"/>
                <w:bCs/>
              </w:rPr>
              <w:t>理解熟悉行为与健康的关系、健康教育学与健康教育及健康促进的关系、健康教育与增权</w:t>
            </w:r>
          </w:p>
          <w:p w14:paraId="5BB3D27F">
            <w:pPr>
              <w:pStyle w:val="15"/>
              <w:widowControl w:val="0"/>
              <w:ind w:right="-120"/>
              <w:jc w:val="left"/>
              <w:rPr>
                <w:rFonts w:hint="eastAsia" w:ascii="宋体" w:hAnsi="宋体"/>
                <w:bCs/>
              </w:rPr>
            </w:pPr>
            <w:r>
              <w:rPr>
                <w:rFonts w:hint="eastAsia" w:ascii="宋体" w:hAnsi="宋体"/>
                <w:bCs/>
              </w:rPr>
              <w:t>的关系、健康教育与健康素养的关系、健康促进与健康共治的关系、健康促进5大行动领</w:t>
            </w:r>
          </w:p>
          <w:p w14:paraId="5A86C359">
            <w:pPr>
              <w:pStyle w:val="15"/>
              <w:widowControl w:val="0"/>
              <w:ind w:right="-120"/>
              <w:jc w:val="left"/>
              <w:rPr>
                <w:rFonts w:ascii="宋体" w:hAnsi="宋体"/>
                <w:bCs/>
              </w:rPr>
            </w:pPr>
            <w:r>
              <w:rPr>
                <w:rFonts w:hint="eastAsia" w:ascii="宋体" w:hAnsi="宋体"/>
                <w:bCs/>
              </w:rPr>
              <w:t>域与3大策略。</w:t>
            </w:r>
          </w:p>
          <w:p w14:paraId="49E2A95F">
            <w:pPr>
              <w:pStyle w:val="15"/>
              <w:widowControl w:val="0"/>
              <w:ind w:right="-120"/>
              <w:jc w:val="left"/>
              <w:rPr>
                <w:rFonts w:hint="eastAsia" w:ascii="宋体" w:hAnsi="宋体"/>
                <w:b/>
                <w:bCs w:val="0"/>
              </w:rPr>
            </w:pPr>
            <w:r>
              <w:rPr>
                <w:rFonts w:hint="eastAsia" w:ascii="宋体" w:hAnsi="宋体"/>
                <w:b/>
                <w:bCs w:val="0"/>
              </w:rPr>
              <w:t>教学难点：</w:t>
            </w:r>
          </w:p>
          <w:p w14:paraId="61664732">
            <w:pPr>
              <w:pStyle w:val="15"/>
              <w:widowControl w:val="0"/>
              <w:ind w:right="-120"/>
              <w:jc w:val="left"/>
              <w:rPr>
                <w:rFonts w:ascii="宋体" w:hAnsi="宋体" w:cs="仿宋"/>
                <w:bCs/>
                <w:sz w:val="20"/>
                <w:szCs w:val="20"/>
              </w:rPr>
            </w:pPr>
            <w:r>
              <w:rPr>
                <w:rFonts w:hint="eastAsia" w:ascii="宋体" w:hAnsi="宋体"/>
                <w:bCs/>
              </w:rPr>
              <w:t>理解“健康选择”和“使健康选择成为既方便又实惠选择”在健康教育与健康促进中的意义，以及我国健康教育与健康促进发展的历史和展望。</w:t>
            </w:r>
          </w:p>
          <w:p w14:paraId="23B8C521">
            <w:pPr>
              <w:pStyle w:val="15"/>
              <w:widowControl w:val="0"/>
              <w:ind w:right="-120"/>
              <w:jc w:val="left"/>
              <w:rPr>
                <w:rFonts w:ascii="宋体" w:hAnsi="宋体" w:cs="仿宋"/>
                <w:bCs/>
                <w:sz w:val="20"/>
                <w:szCs w:val="20"/>
              </w:rPr>
            </w:pPr>
          </w:p>
          <w:p w14:paraId="38542A71">
            <w:pPr>
              <w:pStyle w:val="15"/>
              <w:widowControl w:val="0"/>
              <w:ind w:right="-120"/>
              <w:jc w:val="left"/>
              <w:rPr>
                <w:rFonts w:ascii="宋体" w:hAnsi="宋体"/>
                <w:bCs/>
              </w:rPr>
            </w:pPr>
            <w:r>
              <w:rPr>
                <w:rFonts w:hint="eastAsia" w:ascii="宋体" w:hAnsi="宋体"/>
                <w:bCs/>
              </w:rPr>
              <w:t>第二章 健康行为</w:t>
            </w:r>
          </w:p>
          <w:p w14:paraId="3200F9D6">
            <w:pPr>
              <w:pStyle w:val="15"/>
              <w:widowControl w:val="0"/>
              <w:ind w:right="-120"/>
              <w:jc w:val="left"/>
              <w:rPr>
                <w:rFonts w:ascii="宋体" w:hAnsi="宋体"/>
                <w:b/>
                <w:bCs w:val="0"/>
              </w:rPr>
            </w:pPr>
            <w:r>
              <w:rPr>
                <w:rFonts w:hint="eastAsia" w:ascii="宋体" w:hAnsi="宋体"/>
                <w:b/>
                <w:bCs w:val="0"/>
              </w:rPr>
              <w:t>知识点：</w:t>
            </w:r>
          </w:p>
          <w:p w14:paraId="3C0E3C85">
            <w:pPr>
              <w:pStyle w:val="15"/>
              <w:widowControl w:val="0"/>
              <w:ind w:right="-120"/>
              <w:jc w:val="left"/>
              <w:rPr>
                <w:rFonts w:ascii="宋体" w:hAnsi="宋体"/>
                <w:bCs/>
              </w:rPr>
            </w:pPr>
            <w:r>
              <w:rPr>
                <w:rFonts w:hint="eastAsia" w:ascii="宋体" w:hAnsi="宋体"/>
                <w:bCs/>
              </w:rPr>
              <w:t>2.1知道人类行为、人类行为与健康教育的关系；</w:t>
            </w:r>
          </w:p>
          <w:p w14:paraId="7DD9E10B">
            <w:pPr>
              <w:pStyle w:val="15"/>
              <w:widowControl w:val="0"/>
              <w:ind w:right="-120"/>
              <w:jc w:val="left"/>
              <w:rPr>
                <w:rFonts w:ascii="宋体" w:hAnsi="宋体"/>
                <w:bCs/>
              </w:rPr>
            </w:pPr>
            <w:r>
              <w:rPr>
                <w:rFonts w:hint="eastAsia" w:ascii="宋体" w:hAnsi="宋体"/>
                <w:bCs/>
              </w:rPr>
              <w:t>2.2理解健康行为和健康相关行为的概念；健康行为的影响因素；健康行为的生态学模型。</w:t>
            </w:r>
          </w:p>
          <w:p w14:paraId="353B95E2">
            <w:pPr>
              <w:pStyle w:val="15"/>
              <w:widowControl w:val="0"/>
              <w:ind w:right="-120"/>
              <w:jc w:val="left"/>
              <w:rPr>
                <w:rFonts w:ascii="宋体" w:hAnsi="宋体"/>
                <w:bCs/>
              </w:rPr>
            </w:pPr>
            <w:r>
              <w:rPr>
                <w:rFonts w:hint="eastAsia" w:ascii="宋体" w:hAnsi="宋体"/>
                <w:bCs/>
              </w:rPr>
              <w:t>2.3知道行为、健康行为、健康相关行为的概念，健康相关行为的分类、主要特点和内容。理解人类行为的概念和特点，人类行为的发展特点、人生三阶段与社会化；</w:t>
            </w:r>
          </w:p>
          <w:p w14:paraId="67910D79">
            <w:pPr>
              <w:pStyle w:val="15"/>
              <w:widowControl w:val="0"/>
              <w:ind w:right="-120"/>
              <w:jc w:val="left"/>
              <w:rPr>
                <w:rFonts w:ascii="宋体" w:hAnsi="宋体"/>
                <w:bCs/>
              </w:rPr>
            </w:pPr>
            <w:r>
              <w:rPr>
                <w:rFonts w:hint="eastAsia" w:ascii="宋体" w:hAnsi="宋体"/>
                <w:bCs/>
              </w:rPr>
              <w:t>2.4了解健康行为的主要影响因素，健康行为的生态学模型以及基于生态学模型的行为干预策略。</w:t>
            </w:r>
          </w:p>
          <w:p w14:paraId="4DF42031">
            <w:pPr>
              <w:pStyle w:val="15"/>
              <w:widowControl w:val="0"/>
              <w:ind w:right="-120"/>
              <w:jc w:val="left"/>
              <w:rPr>
                <w:rFonts w:hint="eastAsia" w:ascii="宋体" w:hAnsi="宋体"/>
                <w:bCs/>
              </w:rPr>
            </w:pPr>
            <w:r>
              <w:rPr>
                <w:rFonts w:hint="eastAsia" w:ascii="宋体" w:hAnsi="宋体"/>
                <w:b/>
                <w:bCs w:val="0"/>
              </w:rPr>
              <w:t>能力要求</w:t>
            </w:r>
            <w:r>
              <w:rPr>
                <w:rFonts w:hint="eastAsia" w:ascii="宋体" w:hAnsi="宋体"/>
                <w:bCs/>
              </w:rPr>
              <w:t>：</w:t>
            </w:r>
          </w:p>
          <w:p w14:paraId="06A964E5">
            <w:pPr>
              <w:pStyle w:val="15"/>
              <w:widowControl w:val="0"/>
              <w:ind w:right="-120"/>
              <w:jc w:val="left"/>
              <w:rPr>
                <w:rFonts w:ascii="宋体" w:hAnsi="宋体"/>
                <w:bCs/>
              </w:rPr>
            </w:pPr>
            <w:r>
              <w:rPr>
                <w:rFonts w:hint="eastAsia" w:ascii="宋体" w:hAnsi="宋体"/>
                <w:bCs/>
              </w:rPr>
              <w:t>通过健康行为的影响因素的学习，学会运用健康行为生态学模型开展健康教育的能力。</w:t>
            </w:r>
          </w:p>
          <w:p w14:paraId="1EE6D163">
            <w:pPr>
              <w:pStyle w:val="15"/>
              <w:widowControl w:val="0"/>
              <w:ind w:right="-120"/>
              <w:jc w:val="left"/>
              <w:rPr>
                <w:rFonts w:hint="eastAsia" w:ascii="宋体" w:hAnsi="宋体"/>
                <w:b/>
                <w:bCs w:val="0"/>
              </w:rPr>
            </w:pPr>
            <w:r>
              <w:rPr>
                <w:rFonts w:hint="eastAsia" w:ascii="宋体" w:hAnsi="宋体"/>
                <w:b/>
                <w:bCs w:val="0"/>
              </w:rPr>
              <w:t>教学重点：</w:t>
            </w:r>
          </w:p>
          <w:p w14:paraId="10A78B10">
            <w:pPr>
              <w:pStyle w:val="15"/>
              <w:widowControl w:val="0"/>
              <w:ind w:right="-120"/>
              <w:jc w:val="left"/>
              <w:rPr>
                <w:rFonts w:ascii="宋体" w:hAnsi="宋体"/>
                <w:bCs/>
              </w:rPr>
            </w:pPr>
            <w:r>
              <w:rPr>
                <w:rFonts w:hint="eastAsia" w:ascii="宋体" w:hAnsi="宋体"/>
                <w:bCs/>
              </w:rPr>
              <w:t>理解健康行为的影响因素；人类行为的主要影响因素、基本特点及其与健康教育的关系。</w:t>
            </w:r>
          </w:p>
          <w:p w14:paraId="2E9B5874">
            <w:pPr>
              <w:pStyle w:val="15"/>
              <w:widowControl w:val="0"/>
              <w:ind w:right="-120"/>
              <w:jc w:val="left"/>
              <w:rPr>
                <w:rFonts w:hint="eastAsia" w:ascii="宋体" w:hAnsi="宋体"/>
                <w:b/>
                <w:bCs w:val="0"/>
              </w:rPr>
            </w:pPr>
            <w:r>
              <w:rPr>
                <w:rFonts w:hint="eastAsia" w:ascii="宋体" w:hAnsi="宋体"/>
                <w:b/>
                <w:bCs w:val="0"/>
              </w:rPr>
              <w:t>教学难点：</w:t>
            </w:r>
          </w:p>
          <w:p w14:paraId="6B57D354">
            <w:pPr>
              <w:pStyle w:val="15"/>
              <w:widowControl w:val="0"/>
              <w:ind w:right="-120"/>
              <w:jc w:val="left"/>
              <w:rPr>
                <w:rFonts w:ascii="宋体" w:hAnsi="宋体"/>
                <w:bCs/>
              </w:rPr>
            </w:pPr>
            <w:r>
              <w:rPr>
                <w:rFonts w:hint="eastAsia" w:ascii="宋体" w:hAnsi="宋体"/>
                <w:bCs/>
              </w:rPr>
              <w:t>运用健康行为生态学模型提出相应的健康干预策略。</w:t>
            </w:r>
          </w:p>
          <w:p w14:paraId="54749F22">
            <w:pPr>
              <w:pStyle w:val="15"/>
              <w:widowControl w:val="0"/>
              <w:ind w:right="-120"/>
              <w:jc w:val="left"/>
              <w:rPr>
                <w:rFonts w:ascii="宋体" w:hAnsi="宋体"/>
                <w:bCs/>
              </w:rPr>
            </w:pPr>
          </w:p>
          <w:p w14:paraId="0E39B90A">
            <w:pPr>
              <w:pStyle w:val="15"/>
              <w:widowControl w:val="0"/>
              <w:ind w:right="-120"/>
              <w:jc w:val="left"/>
              <w:rPr>
                <w:rFonts w:ascii="宋体" w:hAnsi="宋体"/>
                <w:bCs/>
              </w:rPr>
            </w:pPr>
            <w:r>
              <w:rPr>
                <w:rFonts w:hint="eastAsia" w:ascii="宋体" w:hAnsi="宋体"/>
                <w:bCs/>
              </w:rPr>
              <w:t xml:space="preserve">第三章 </w:t>
            </w:r>
            <w:r>
              <w:rPr>
                <w:rFonts w:ascii="宋体" w:hAnsi="宋体"/>
                <w:bCs/>
              </w:rPr>
              <w:t xml:space="preserve"> </w:t>
            </w:r>
            <w:r>
              <w:rPr>
                <w:rFonts w:hint="eastAsia" w:ascii="宋体" w:hAnsi="宋体"/>
                <w:bCs/>
              </w:rPr>
              <w:t>理性行动与计划行为理论</w:t>
            </w:r>
          </w:p>
          <w:p w14:paraId="7B9E2427">
            <w:pPr>
              <w:pStyle w:val="15"/>
              <w:widowControl w:val="0"/>
              <w:ind w:right="-120"/>
              <w:jc w:val="left"/>
              <w:rPr>
                <w:rFonts w:ascii="宋体" w:hAnsi="宋体"/>
                <w:b/>
                <w:bCs w:val="0"/>
              </w:rPr>
            </w:pPr>
            <w:r>
              <w:rPr>
                <w:rFonts w:hint="eastAsia" w:ascii="宋体" w:hAnsi="宋体"/>
                <w:b/>
                <w:bCs w:val="0"/>
              </w:rPr>
              <w:t>知识点：</w:t>
            </w:r>
          </w:p>
          <w:p w14:paraId="52BCAE43">
            <w:pPr>
              <w:pStyle w:val="15"/>
              <w:widowControl w:val="0"/>
              <w:ind w:right="-120"/>
              <w:jc w:val="left"/>
              <w:rPr>
                <w:rFonts w:ascii="宋体" w:hAnsi="宋体"/>
                <w:bCs/>
              </w:rPr>
            </w:pPr>
            <w:r>
              <w:rPr>
                <w:rFonts w:hint="eastAsia" w:ascii="宋体" w:hAnsi="宋体"/>
                <w:bCs/>
              </w:rPr>
              <w:t>3.1 知道社会学中理性行动的分类，知道社会学家马克斯韦伯的思想理论</w:t>
            </w:r>
          </w:p>
          <w:p w14:paraId="5182EE89">
            <w:pPr>
              <w:pStyle w:val="15"/>
              <w:widowControl w:val="0"/>
              <w:ind w:right="-120"/>
              <w:jc w:val="left"/>
              <w:rPr>
                <w:rFonts w:ascii="宋体" w:hAnsi="宋体"/>
                <w:bCs/>
              </w:rPr>
            </w:pPr>
            <w:r>
              <w:rPr>
                <w:rFonts w:hint="eastAsia" w:ascii="宋体" w:hAnsi="宋体"/>
                <w:bCs/>
              </w:rPr>
              <w:t>3.2 知道理性行动理论和计划行为理论的基本概念、理论框架和主要内容；</w:t>
            </w:r>
          </w:p>
          <w:p w14:paraId="77B188BC">
            <w:pPr>
              <w:pStyle w:val="15"/>
              <w:widowControl w:val="0"/>
              <w:ind w:right="-120"/>
              <w:jc w:val="left"/>
              <w:rPr>
                <w:rFonts w:ascii="宋体" w:hAnsi="宋体"/>
                <w:bCs/>
              </w:rPr>
            </w:pPr>
            <w:r>
              <w:rPr>
                <w:rFonts w:hint="eastAsia" w:ascii="宋体" w:hAnsi="宋体"/>
                <w:bCs/>
              </w:rPr>
              <w:t>3.3了解整合行为模式和信息-动机-行为技能模式的基本内容。</w:t>
            </w:r>
          </w:p>
          <w:p w14:paraId="52920F9A">
            <w:pPr>
              <w:pStyle w:val="15"/>
              <w:widowControl w:val="0"/>
              <w:ind w:right="-120"/>
              <w:jc w:val="left"/>
              <w:rPr>
                <w:rFonts w:hint="eastAsia" w:ascii="宋体" w:hAnsi="宋体"/>
                <w:b/>
                <w:bCs w:val="0"/>
              </w:rPr>
            </w:pPr>
            <w:r>
              <w:rPr>
                <w:rFonts w:hint="eastAsia" w:ascii="宋体" w:hAnsi="宋体"/>
                <w:b/>
                <w:bCs w:val="0"/>
              </w:rPr>
              <w:t>能力要求：</w:t>
            </w:r>
          </w:p>
          <w:p w14:paraId="48AD54BA">
            <w:pPr>
              <w:pStyle w:val="15"/>
              <w:widowControl w:val="0"/>
              <w:ind w:right="-120"/>
              <w:jc w:val="left"/>
              <w:rPr>
                <w:rFonts w:ascii="宋体" w:hAnsi="宋体"/>
                <w:bCs/>
              </w:rPr>
            </w:pPr>
            <w:r>
              <w:rPr>
                <w:rFonts w:hint="eastAsia" w:ascii="宋体" w:hAnsi="宋体"/>
                <w:bCs/>
              </w:rPr>
              <w:t>运用理性行动理论和计划行为理论分析实际案例的能力（个体层面）。</w:t>
            </w:r>
          </w:p>
          <w:p w14:paraId="43739F74">
            <w:pPr>
              <w:pStyle w:val="15"/>
              <w:widowControl w:val="0"/>
              <w:ind w:right="-120"/>
              <w:jc w:val="left"/>
              <w:rPr>
                <w:rFonts w:hint="eastAsia" w:ascii="宋体" w:hAnsi="宋体"/>
                <w:b/>
                <w:bCs w:val="0"/>
              </w:rPr>
            </w:pPr>
            <w:r>
              <w:rPr>
                <w:rFonts w:hint="eastAsia" w:ascii="宋体" w:hAnsi="宋体"/>
                <w:b/>
                <w:bCs w:val="0"/>
              </w:rPr>
              <w:t>教学重点：</w:t>
            </w:r>
          </w:p>
          <w:p w14:paraId="476DC924">
            <w:pPr>
              <w:pStyle w:val="15"/>
              <w:widowControl w:val="0"/>
              <w:ind w:right="-120"/>
              <w:jc w:val="left"/>
              <w:rPr>
                <w:rFonts w:ascii="宋体" w:hAnsi="宋体"/>
                <w:bCs/>
              </w:rPr>
            </w:pPr>
            <w:r>
              <w:rPr>
                <w:rFonts w:hint="eastAsia" w:ascii="宋体" w:hAnsi="宋体"/>
                <w:bCs/>
              </w:rPr>
              <w:t>理解理性行动理论和计划行为理论的基本概念、理论框架和主要内容，应用范围。</w:t>
            </w:r>
          </w:p>
          <w:p w14:paraId="246CCAFF">
            <w:pPr>
              <w:pStyle w:val="15"/>
              <w:widowControl w:val="0"/>
              <w:ind w:right="-120"/>
              <w:jc w:val="left"/>
              <w:rPr>
                <w:rFonts w:hint="eastAsia" w:ascii="宋体" w:hAnsi="宋体"/>
                <w:b/>
                <w:bCs w:val="0"/>
              </w:rPr>
            </w:pPr>
            <w:r>
              <w:rPr>
                <w:rFonts w:hint="eastAsia" w:ascii="宋体" w:hAnsi="宋体"/>
                <w:b/>
                <w:bCs w:val="0"/>
              </w:rPr>
              <w:t>教学难点：</w:t>
            </w:r>
          </w:p>
          <w:p w14:paraId="588DEB68">
            <w:pPr>
              <w:pStyle w:val="15"/>
              <w:widowControl w:val="0"/>
              <w:ind w:right="-120"/>
              <w:jc w:val="left"/>
              <w:rPr>
                <w:rFonts w:ascii="宋体" w:hAnsi="宋体"/>
                <w:bCs/>
              </w:rPr>
            </w:pPr>
            <w:r>
              <w:rPr>
                <w:rFonts w:hint="eastAsia" w:ascii="宋体" w:hAnsi="宋体"/>
                <w:bCs/>
              </w:rPr>
              <w:t xml:space="preserve">运用理性行动与计划行为理论分析现实生活中案例的能力。 </w:t>
            </w:r>
          </w:p>
          <w:p w14:paraId="6EE64E1F">
            <w:pPr>
              <w:pStyle w:val="15"/>
              <w:widowControl w:val="0"/>
              <w:ind w:right="-120"/>
              <w:jc w:val="left"/>
              <w:rPr>
                <w:rFonts w:ascii="宋体" w:hAnsi="宋体"/>
                <w:bCs/>
              </w:rPr>
            </w:pPr>
            <w:r>
              <w:rPr>
                <w:rFonts w:hint="eastAsia" w:ascii="宋体" w:hAnsi="宋体"/>
                <w:bCs/>
              </w:rPr>
              <w:t xml:space="preserve">          </w:t>
            </w:r>
          </w:p>
          <w:p w14:paraId="0D98C543">
            <w:pPr>
              <w:pStyle w:val="15"/>
              <w:widowControl w:val="0"/>
              <w:ind w:right="-120"/>
              <w:jc w:val="left"/>
              <w:rPr>
                <w:rFonts w:ascii="宋体" w:hAnsi="宋体"/>
                <w:bCs/>
              </w:rPr>
            </w:pPr>
            <w:r>
              <w:rPr>
                <w:rFonts w:ascii="宋体" w:hAnsi="宋体"/>
                <w:bCs/>
              </w:rPr>
              <w:t>第四章</w:t>
            </w:r>
            <w:r>
              <w:rPr>
                <w:rFonts w:hint="eastAsia" w:ascii="宋体" w:hAnsi="宋体"/>
                <w:bCs/>
              </w:rPr>
              <w:t xml:space="preserve"> </w:t>
            </w:r>
            <w:r>
              <w:rPr>
                <w:rFonts w:ascii="宋体" w:hAnsi="宋体"/>
                <w:bCs/>
              </w:rPr>
              <w:t xml:space="preserve"> </w:t>
            </w:r>
            <w:r>
              <w:rPr>
                <w:rFonts w:hint="eastAsia" w:ascii="宋体" w:hAnsi="宋体"/>
                <w:bCs/>
              </w:rPr>
              <w:t>健康信念模式</w:t>
            </w:r>
          </w:p>
          <w:p w14:paraId="48C3BF68">
            <w:pPr>
              <w:pStyle w:val="15"/>
              <w:widowControl w:val="0"/>
              <w:ind w:right="-120"/>
              <w:jc w:val="left"/>
              <w:rPr>
                <w:rFonts w:ascii="宋体" w:hAnsi="宋体"/>
                <w:b/>
                <w:bCs w:val="0"/>
              </w:rPr>
            </w:pPr>
            <w:r>
              <w:rPr>
                <w:rFonts w:hint="eastAsia" w:ascii="宋体" w:hAnsi="宋体"/>
                <w:b/>
                <w:bCs w:val="0"/>
              </w:rPr>
              <w:t>知识点：</w:t>
            </w:r>
          </w:p>
          <w:p w14:paraId="454A6FC7">
            <w:pPr>
              <w:pStyle w:val="15"/>
              <w:widowControl w:val="0"/>
              <w:ind w:right="-120"/>
              <w:jc w:val="left"/>
              <w:rPr>
                <w:rFonts w:ascii="宋体" w:hAnsi="宋体"/>
                <w:bCs/>
              </w:rPr>
            </w:pPr>
            <w:r>
              <w:rPr>
                <w:rFonts w:hint="eastAsia" w:ascii="宋体" w:hAnsi="宋体"/>
                <w:bCs/>
              </w:rPr>
              <w:t>4.1知道健康信念模式的发展背景，</w:t>
            </w:r>
          </w:p>
          <w:p w14:paraId="472B8F96">
            <w:pPr>
              <w:pStyle w:val="15"/>
              <w:widowControl w:val="0"/>
              <w:ind w:right="-120"/>
              <w:jc w:val="left"/>
              <w:rPr>
                <w:rFonts w:ascii="宋体" w:hAnsi="宋体"/>
                <w:bCs/>
              </w:rPr>
            </w:pPr>
            <w:r>
              <w:rPr>
                <w:rFonts w:hint="eastAsia" w:ascii="宋体" w:hAnsi="宋体"/>
                <w:bCs/>
              </w:rPr>
              <w:t>4.2健康信念模式的相关概念、基本框架；</w:t>
            </w:r>
          </w:p>
          <w:p w14:paraId="1A2277FF">
            <w:pPr>
              <w:pStyle w:val="15"/>
              <w:widowControl w:val="0"/>
              <w:ind w:right="-120"/>
              <w:jc w:val="left"/>
              <w:rPr>
                <w:rFonts w:hint="eastAsia" w:ascii="宋体" w:hAnsi="宋体"/>
                <w:bCs/>
              </w:rPr>
            </w:pPr>
            <w:r>
              <w:rPr>
                <w:rFonts w:hint="eastAsia" w:ascii="宋体" w:hAnsi="宋体"/>
                <w:bCs/>
              </w:rPr>
              <w:t>4.3了解健康信念模式（HBM）的实践与应用。通过戒烟行为的实际案例分析和说明了健康</w:t>
            </w:r>
          </w:p>
          <w:p w14:paraId="4154411F">
            <w:pPr>
              <w:pStyle w:val="15"/>
              <w:widowControl w:val="0"/>
              <w:ind w:right="-120"/>
              <w:jc w:val="left"/>
              <w:rPr>
                <w:rFonts w:ascii="宋体" w:hAnsi="宋体"/>
                <w:bCs/>
              </w:rPr>
            </w:pPr>
            <w:r>
              <w:rPr>
                <w:rFonts w:hint="eastAsia" w:ascii="宋体" w:hAnsi="宋体"/>
                <w:bCs/>
              </w:rPr>
              <w:t>信念模式在实际生活中的应用。</w:t>
            </w:r>
          </w:p>
          <w:p w14:paraId="3B8BD13B">
            <w:pPr>
              <w:pStyle w:val="15"/>
              <w:widowControl w:val="0"/>
              <w:ind w:right="-120"/>
              <w:jc w:val="left"/>
              <w:rPr>
                <w:rFonts w:hint="eastAsia" w:ascii="宋体" w:hAnsi="宋体"/>
                <w:b/>
                <w:bCs w:val="0"/>
              </w:rPr>
            </w:pPr>
            <w:r>
              <w:rPr>
                <w:rFonts w:hint="eastAsia" w:ascii="宋体" w:hAnsi="宋体"/>
                <w:b/>
                <w:bCs w:val="0"/>
              </w:rPr>
              <w:t>能力要求：</w:t>
            </w:r>
          </w:p>
          <w:p w14:paraId="466BB015">
            <w:pPr>
              <w:pStyle w:val="15"/>
              <w:widowControl w:val="0"/>
              <w:ind w:right="-120"/>
              <w:jc w:val="left"/>
              <w:rPr>
                <w:rFonts w:ascii="宋体" w:hAnsi="宋体"/>
                <w:bCs/>
              </w:rPr>
            </w:pPr>
            <w:r>
              <w:rPr>
                <w:rFonts w:hint="eastAsia" w:ascii="宋体" w:hAnsi="宋体"/>
                <w:bCs/>
              </w:rPr>
              <w:t>运用健康信念模式（HBM）（个体层面）分析实际案例的能力。</w:t>
            </w:r>
          </w:p>
          <w:p w14:paraId="7DBB778D">
            <w:pPr>
              <w:pStyle w:val="15"/>
              <w:widowControl w:val="0"/>
              <w:ind w:right="-120"/>
              <w:jc w:val="left"/>
              <w:rPr>
                <w:rFonts w:hint="eastAsia" w:ascii="宋体" w:hAnsi="宋体"/>
                <w:b/>
                <w:bCs w:val="0"/>
              </w:rPr>
            </w:pPr>
            <w:r>
              <w:rPr>
                <w:rFonts w:hint="eastAsia" w:ascii="宋体" w:hAnsi="宋体"/>
                <w:b/>
                <w:bCs w:val="0"/>
              </w:rPr>
              <w:t>教学重点：</w:t>
            </w:r>
          </w:p>
          <w:p w14:paraId="51826E46">
            <w:pPr>
              <w:pStyle w:val="15"/>
              <w:widowControl w:val="0"/>
              <w:ind w:right="-120"/>
              <w:jc w:val="left"/>
              <w:rPr>
                <w:rFonts w:ascii="宋体" w:hAnsi="宋体"/>
                <w:bCs/>
              </w:rPr>
            </w:pPr>
            <w:r>
              <w:rPr>
                <w:rFonts w:hint="eastAsia" w:ascii="宋体" w:hAnsi="宋体"/>
                <w:bCs/>
              </w:rPr>
              <w:t>掌握健康信念模式（HBM）的相关概念和基本框架。</w:t>
            </w:r>
          </w:p>
          <w:p w14:paraId="252E3213">
            <w:pPr>
              <w:pStyle w:val="15"/>
              <w:widowControl w:val="0"/>
              <w:ind w:right="-120"/>
              <w:jc w:val="left"/>
              <w:rPr>
                <w:rFonts w:hint="eastAsia" w:ascii="宋体" w:hAnsi="宋体"/>
                <w:b/>
                <w:bCs w:val="0"/>
              </w:rPr>
            </w:pPr>
            <w:r>
              <w:rPr>
                <w:rFonts w:hint="eastAsia" w:ascii="宋体" w:hAnsi="宋体"/>
                <w:b/>
                <w:bCs w:val="0"/>
              </w:rPr>
              <w:t>教学难点：</w:t>
            </w:r>
          </w:p>
          <w:p w14:paraId="5647E4BF">
            <w:pPr>
              <w:pStyle w:val="15"/>
              <w:widowControl w:val="0"/>
              <w:ind w:right="-120"/>
              <w:jc w:val="left"/>
              <w:rPr>
                <w:rFonts w:ascii="宋体" w:hAnsi="宋体"/>
                <w:bCs/>
              </w:rPr>
            </w:pPr>
            <w:r>
              <w:rPr>
                <w:rFonts w:hint="eastAsia" w:ascii="宋体" w:hAnsi="宋体"/>
                <w:bCs/>
              </w:rPr>
              <w:t>掌握健康信念模式（HBM）的实践和应用。</w:t>
            </w:r>
          </w:p>
          <w:p w14:paraId="04337C5D">
            <w:pPr>
              <w:pStyle w:val="15"/>
              <w:widowControl w:val="0"/>
              <w:ind w:right="-120"/>
              <w:jc w:val="left"/>
              <w:rPr>
                <w:rFonts w:ascii="宋体" w:hAnsi="宋体"/>
                <w:bCs/>
              </w:rPr>
            </w:pPr>
          </w:p>
          <w:p w14:paraId="48D1C4D1">
            <w:pPr>
              <w:pStyle w:val="15"/>
              <w:widowControl w:val="0"/>
              <w:ind w:right="-120"/>
              <w:jc w:val="left"/>
              <w:rPr>
                <w:rFonts w:ascii="宋体" w:hAnsi="宋体"/>
                <w:bCs/>
              </w:rPr>
            </w:pPr>
            <w:r>
              <w:rPr>
                <w:rFonts w:hint="eastAsia" w:ascii="宋体" w:hAnsi="宋体"/>
                <w:bCs/>
              </w:rPr>
              <w:t xml:space="preserve">第五章 </w:t>
            </w:r>
            <w:r>
              <w:rPr>
                <w:rFonts w:ascii="宋体" w:hAnsi="宋体"/>
                <w:bCs/>
              </w:rPr>
              <w:t xml:space="preserve"> </w:t>
            </w:r>
            <w:r>
              <w:rPr>
                <w:rFonts w:hint="eastAsia" w:ascii="宋体" w:hAnsi="宋体"/>
                <w:bCs/>
              </w:rPr>
              <w:t>阶段变化理论</w:t>
            </w:r>
          </w:p>
          <w:p w14:paraId="0100F32F">
            <w:pPr>
              <w:pStyle w:val="15"/>
              <w:widowControl w:val="0"/>
              <w:ind w:right="-120"/>
              <w:jc w:val="left"/>
              <w:rPr>
                <w:rFonts w:ascii="宋体" w:hAnsi="宋体"/>
                <w:b/>
                <w:bCs w:val="0"/>
              </w:rPr>
            </w:pPr>
            <w:r>
              <w:rPr>
                <w:rFonts w:hint="eastAsia" w:ascii="宋体" w:hAnsi="宋体"/>
                <w:b/>
                <w:bCs w:val="0"/>
              </w:rPr>
              <w:t>知识点：</w:t>
            </w:r>
          </w:p>
          <w:p w14:paraId="7A776A90">
            <w:pPr>
              <w:pStyle w:val="15"/>
              <w:widowControl w:val="0"/>
              <w:ind w:right="-120"/>
              <w:jc w:val="left"/>
              <w:rPr>
                <w:rFonts w:ascii="宋体" w:hAnsi="宋体"/>
                <w:bCs/>
              </w:rPr>
            </w:pPr>
            <w:r>
              <w:rPr>
                <w:rFonts w:hint="eastAsia" w:ascii="宋体" w:hAnsi="宋体"/>
                <w:bCs/>
              </w:rPr>
              <w:t>5.1知道阶段变化理论的核心构件、阶段变化理论的内涵。</w:t>
            </w:r>
          </w:p>
          <w:p w14:paraId="170678C5">
            <w:pPr>
              <w:pStyle w:val="15"/>
              <w:widowControl w:val="0"/>
              <w:ind w:right="-120"/>
              <w:jc w:val="left"/>
              <w:rPr>
                <w:rFonts w:ascii="宋体" w:hAnsi="宋体"/>
                <w:bCs/>
              </w:rPr>
            </w:pPr>
            <w:r>
              <w:rPr>
                <w:rFonts w:hint="eastAsia" w:ascii="宋体" w:hAnsi="宋体"/>
                <w:bCs/>
              </w:rPr>
              <w:t>5.2理解阶段变化理论中变化阶段和变化过程之间的关系。</w:t>
            </w:r>
          </w:p>
          <w:p w14:paraId="37991FDF">
            <w:pPr>
              <w:pStyle w:val="15"/>
              <w:widowControl w:val="0"/>
              <w:ind w:right="-120"/>
              <w:jc w:val="left"/>
              <w:rPr>
                <w:rFonts w:ascii="宋体" w:hAnsi="宋体"/>
                <w:bCs/>
              </w:rPr>
            </w:pPr>
            <w:r>
              <w:rPr>
                <w:rFonts w:hint="eastAsia" w:ascii="宋体" w:hAnsi="宋体"/>
                <w:bCs/>
              </w:rPr>
              <w:t>5.3了解阶段变化理论产生的背景及其发展历史，提出的假设前提，理论的局限性。</w:t>
            </w:r>
          </w:p>
          <w:p w14:paraId="7C139A27">
            <w:pPr>
              <w:pStyle w:val="15"/>
              <w:widowControl w:val="0"/>
              <w:ind w:right="-120"/>
              <w:jc w:val="left"/>
              <w:rPr>
                <w:rFonts w:ascii="宋体" w:hAnsi="宋体"/>
                <w:bCs/>
              </w:rPr>
            </w:pPr>
            <w:r>
              <w:rPr>
                <w:rFonts w:hint="eastAsia" w:ascii="宋体" w:hAnsi="宋体"/>
                <w:bCs/>
              </w:rPr>
              <w:t>5.4 综合应用阶段变化理论。</w:t>
            </w:r>
          </w:p>
          <w:p w14:paraId="2CCCAC9B">
            <w:pPr>
              <w:pStyle w:val="15"/>
              <w:widowControl w:val="0"/>
              <w:ind w:right="-120"/>
              <w:jc w:val="left"/>
              <w:rPr>
                <w:rFonts w:hint="eastAsia" w:ascii="宋体" w:hAnsi="宋体"/>
                <w:b/>
                <w:bCs w:val="0"/>
              </w:rPr>
            </w:pPr>
            <w:r>
              <w:rPr>
                <w:rFonts w:hint="eastAsia" w:ascii="宋体" w:hAnsi="宋体"/>
                <w:b/>
                <w:bCs w:val="0"/>
              </w:rPr>
              <w:t>能力要求：</w:t>
            </w:r>
          </w:p>
          <w:p w14:paraId="478FEE15">
            <w:pPr>
              <w:pStyle w:val="15"/>
              <w:widowControl w:val="0"/>
              <w:ind w:right="-120"/>
              <w:jc w:val="left"/>
              <w:rPr>
                <w:rFonts w:ascii="宋体" w:hAnsi="宋体"/>
                <w:bCs/>
              </w:rPr>
            </w:pPr>
            <w:r>
              <w:rPr>
                <w:rFonts w:hint="eastAsia" w:ascii="宋体" w:hAnsi="宋体"/>
                <w:bCs/>
              </w:rPr>
              <w:t xml:space="preserve">具备运用阶段变化理论分析实际案例的能力。学会客观（一分为二）看待事物的观点。 </w:t>
            </w:r>
            <w:r>
              <w:rPr>
                <w:rFonts w:ascii="宋体" w:hAnsi="宋体"/>
                <w:bCs/>
              </w:rPr>
              <w:t xml:space="preserve">    </w:t>
            </w:r>
          </w:p>
          <w:p w14:paraId="3D988FB2">
            <w:pPr>
              <w:pStyle w:val="15"/>
              <w:widowControl w:val="0"/>
              <w:ind w:right="-120"/>
              <w:jc w:val="left"/>
              <w:rPr>
                <w:rFonts w:hint="eastAsia" w:ascii="宋体" w:hAnsi="宋体"/>
                <w:b/>
                <w:bCs w:val="0"/>
              </w:rPr>
            </w:pPr>
            <w:r>
              <w:rPr>
                <w:rFonts w:hint="eastAsia" w:ascii="宋体" w:hAnsi="宋体"/>
                <w:b/>
                <w:bCs w:val="0"/>
              </w:rPr>
              <w:t>教学重点：</w:t>
            </w:r>
          </w:p>
          <w:p w14:paraId="672231C3">
            <w:pPr>
              <w:pStyle w:val="15"/>
              <w:widowControl w:val="0"/>
              <w:ind w:right="-120"/>
              <w:jc w:val="left"/>
              <w:rPr>
                <w:rFonts w:ascii="宋体" w:hAnsi="宋体"/>
                <w:bCs/>
              </w:rPr>
            </w:pPr>
            <w:r>
              <w:rPr>
                <w:rFonts w:hint="eastAsia" w:ascii="宋体" w:hAnsi="宋体"/>
                <w:bCs/>
              </w:rPr>
              <w:t>阶段变化理论的的核心构件。</w:t>
            </w:r>
          </w:p>
          <w:p w14:paraId="57C70273">
            <w:pPr>
              <w:pStyle w:val="15"/>
              <w:widowControl w:val="0"/>
              <w:ind w:right="-120"/>
              <w:jc w:val="left"/>
              <w:rPr>
                <w:rFonts w:hint="eastAsia" w:ascii="宋体" w:hAnsi="宋体"/>
                <w:b/>
                <w:bCs w:val="0"/>
              </w:rPr>
            </w:pPr>
            <w:r>
              <w:rPr>
                <w:rFonts w:hint="eastAsia" w:ascii="宋体" w:hAnsi="宋体"/>
                <w:b/>
                <w:bCs w:val="0"/>
              </w:rPr>
              <w:t>教学难点：</w:t>
            </w:r>
          </w:p>
          <w:p w14:paraId="3DB22A02">
            <w:pPr>
              <w:pStyle w:val="15"/>
              <w:widowControl w:val="0"/>
              <w:ind w:right="-120"/>
              <w:jc w:val="left"/>
              <w:rPr>
                <w:rFonts w:ascii="宋体" w:hAnsi="宋体"/>
                <w:bCs/>
              </w:rPr>
            </w:pPr>
            <w:r>
              <w:rPr>
                <w:rFonts w:hint="eastAsia" w:ascii="宋体" w:hAnsi="宋体"/>
                <w:bCs/>
              </w:rPr>
              <w:t>阶段变化理论在实践中的应用。</w:t>
            </w:r>
          </w:p>
          <w:p w14:paraId="7D93A128">
            <w:pPr>
              <w:pStyle w:val="15"/>
              <w:widowControl w:val="0"/>
              <w:ind w:right="-120"/>
              <w:jc w:val="left"/>
              <w:rPr>
                <w:rFonts w:ascii="宋体" w:hAnsi="宋体"/>
                <w:bCs/>
              </w:rPr>
            </w:pPr>
          </w:p>
          <w:p w14:paraId="67BD567B">
            <w:pPr>
              <w:pStyle w:val="15"/>
              <w:widowControl w:val="0"/>
              <w:ind w:right="-120"/>
              <w:jc w:val="left"/>
              <w:rPr>
                <w:rFonts w:ascii="宋体" w:hAnsi="宋体"/>
                <w:bCs/>
              </w:rPr>
            </w:pPr>
            <w:r>
              <w:rPr>
                <w:rFonts w:hint="eastAsia" w:ascii="宋体" w:hAnsi="宋体"/>
                <w:bCs/>
              </w:rPr>
              <w:t xml:space="preserve">第六章 </w:t>
            </w:r>
            <w:r>
              <w:rPr>
                <w:rFonts w:ascii="宋体" w:hAnsi="宋体"/>
                <w:bCs/>
              </w:rPr>
              <w:t xml:space="preserve">  </w:t>
            </w:r>
            <w:r>
              <w:rPr>
                <w:rFonts w:hint="eastAsia" w:ascii="宋体" w:hAnsi="宋体"/>
                <w:bCs/>
              </w:rPr>
              <w:t>社会认知理论</w:t>
            </w:r>
          </w:p>
          <w:p w14:paraId="089ECEB8">
            <w:pPr>
              <w:pStyle w:val="15"/>
              <w:widowControl w:val="0"/>
              <w:ind w:right="-120"/>
              <w:jc w:val="left"/>
              <w:rPr>
                <w:rFonts w:ascii="宋体" w:hAnsi="宋体"/>
                <w:b/>
                <w:bCs w:val="0"/>
              </w:rPr>
            </w:pPr>
            <w:r>
              <w:rPr>
                <w:rFonts w:hint="eastAsia" w:ascii="宋体" w:hAnsi="宋体"/>
                <w:b/>
                <w:bCs w:val="0"/>
              </w:rPr>
              <w:t>知识点：</w:t>
            </w:r>
          </w:p>
          <w:p w14:paraId="203B7C52">
            <w:pPr>
              <w:pStyle w:val="15"/>
              <w:widowControl w:val="0"/>
              <w:ind w:right="-120"/>
              <w:jc w:val="left"/>
              <w:rPr>
                <w:rFonts w:ascii="宋体" w:hAnsi="宋体"/>
                <w:bCs/>
              </w:rPr>
            </w:pPr>
            <w:r>
              <w:rPr>
                <w:rFonts w:hint="eastAsia" w:ascii="宋体" w:hAnsi="宋体"/>
                <w:bCs/>
              </w:rPr>
              <w:t>6.1 知道观察学习、替代性强化、自我效能、结果期望、目标设定和自我调控等重要概念。</w:t>
            </w:r>
          </w:p>
          <w:p w14:paraId="35F0A480">
            <w:pPr>
              <w:pStyle w:val="15"/>
              <w:widowControl w:val="0"/>
              <w:ind w:right="-120"/>
              <w:jc w:val="left"/>
              <w:rPr>
                <w:rFonts w:hint="eastAsia" w:ascii="宋体" w:hAnsi="宋体"/>
                <w:bCs/>
              </w:rPr>
            </w:pPr>
            <w:r>
              <w:rPr>
                <w:rFonts w:hint="eastAsia" w:ascii="宋体" w:hAnsi="宋体"/>
                <w:bCs/>
              </w:rPr>
              <w:t>6.2 理解社会认知理论的知识类型、自我效能的特征、结果期望与自我效能的关系、结果</w:t>
            </w:r>
          </w:p>
          <w:p w14:paraId="37AF38B4">
            <w:pPr>
              <w:pStyle w:val="15"/>
              <w:widowControl w:val="0"/>
              <w:ind w:right="-120"/>
              <w:jc w:val="left"/>
              <w:rPr>
                <w:rFonts w:hint="eastAsia" w:ascii="宋体" w:hAnsi="宋体"/>
                <w:bCs/>
              </w:rPr>
            </w:pPr>
            <w:r>
              <w:rPr>
                <w:rFonts w:hint="eastAsia" w:ascii="宋体" w:hAnsi="宋体"/>
                <w:bCs/>
              </w:rPr>
              <w:t>期望与结果预期的区别，社会结构性因素、提升自我效能的方法，三元交互作用，社会认</w:t>
            </w:r>
          </w:p>
          <w:p w14:paraId="771692D3">
            <w:pPr>
              <w:pStyle w:val="15"/>
              <w:widowControl w:val="0"/>
              <w:ind w:right="-120"/>
              <w:jc w:val="left"/>
              <w:rPr>
                <w:rFonts w:ascii="宋体" w:hAnsi="宋体"/>
                <w:bCs/>
              </w:rPr>
            </w:pPr>
            <w:r>
              <w:rPr>
                <w:rFonts w:hint="eastAsia" w:ascii="宋体" w:hAnsi="宋体"/>
                <w:bCs/>
              </w:rPr>
              <w:t>知理论的应用原则。</w:t>
            </w:r>
          </w:p>
          <w:p w14:paraId="57BF4306">
            <w:pPr>
              <w:pStyle w:val="15"/>
              <w:widowControl w:val="0"/>
              <w:ind w:right="-120"/>
              <w:jc w:val="left"/>
              <w:rPr>
                <w:rFonts w:ascii="宋体" w:hAnsi="宋体"/>
                <w:bCs/>
              </w:rPr>
            </w:pPr>
            <w:r>
              <w:rPr>
                <w:rFonts w:hint="eastAsia" w:ascii="宋体" w:hAnsi="宋体"/>
                <w:bCs/>
              </w:rPr>
              <w:t>6.3了解以社会认知理论为框架的健康促进应用案例。</w:t>
            </w:r>
          </w:p>
          <w:p w14:paraId="6B2DEC50">
            <w:pPr>
              <w:pStyle w:val="15"/>
              <w:widowControl w:val="0"/>
              <w:ind w:right="-120"/>
              <w:jc w:val="left"/>
              <w:rPr>
                <w:rFonts w:hint="eastAsia" w:ascii="宋体" w:hAnsi="宋体"/>
                <w:b/>
                <w:bCs w:val="0"/>
              </w:rPr>
            </w:pPr>
            <w:r>
              <w:rPr>
                <w:rFonts w:hint="eastAsia" w:ascii="宋体" w:hAnsi="宋体"/>
                <w:b/>
                <w:bCs w:val="0"/>
              </w:rPr>
              <w:t>能力要求：</w:t>
            </w:r>
          </w:p>
          <w:p w14:paraId="59E734C8">
            <w:pPr>
              <w:pStyle w:val="15"/>
              <w:widowControl w:val="0"/>
              <w:ind w:right="-120"/>
              <w:jc w:val="left"/>
              <w:rPr>
                <w:rFonts w:hint="eastAsia" w:ascii="宋体" w:hAnsi="宋体"/>
                <w:bCs/>
              </w:rPr>
            </w:pPr>
            <w:r>
              <w:rPr>
                <w:rFonts w:hint="eastAsia" w:ascii="宋体" w:hAnsi="宋体"/>
                <w:bCs/>
              </w:rPr>
              <w:t>学会运用教育学的相关理论解读健康行为；具备运用社会认知理论为框架的健康促进应用</w:t>
            </w:r>
          </w:p>
          <w:p w14:paraId="4E0282D6">
            <w:pPr>
              <w:pStyle w:val="15"/>
              <w:widowControl w:val="0"/>
              <w:ind w:right="-120"/>
              <w:jc w:val="left"/>
              <w:rPr>
                <w:rFonts w:ascii="宋体" w:hAnsi="宋体"/>
                <w:bCs/>
              </w:rPr>
            </w:pPr>
            <w:r>
              <w:rPr>
                <w:rFonts w:hint="eastAsia" w:ascii="宋体" w:hAnsi="宋体"/>
                <w:bCs/>
              </w:rPr>
              <w:t>案例。</w:t>
            </w:r>
          </w:p>
          <w:p w14:paraId="7B6582BC">
            <w:pPr>
              <w:pStyle w:val="15"/>
              <w:widowControl w:val="0"/>
              <w:ind w:right="-120"/>
              <w:jc w:val="left"/>
              <w:rPr>
                <w:rFonts w:hint="eastAsia" w:ascii="宋体" w:hAnsi="宋体"/>
                <w:b/>
                <w:bCs w:val="0"/>
              </w:rPr>
            </w:pPr>
            <w:r>
              <w:rPr>
                <w:rFonts w:hint="eastAsia" w:ascii="宋体" w:hAnsi="宋体"/>
                <w:b/>
                <w:bCs w:val="0"/>
              </w:rPr>
              <w:t>教学重点：</w:t>
            </w:r>
          </w:p>
          <w:p w14:paraId="1B903177">
            <w:pPr>
              <w:pStyle w:val="15"/>
              <w:widowControl w:val="0"/>
              <w:ind w:right="-120"/>
              <w:jc w:val="left"/>
              <w:rPr>
                <w:rFonts w:hint="eastAsia" w:ascii="宋体" w:hAnsi="宋体"/>
                <w:bCs/>
              </w:rPr>
            </w:pPr>
            <w:r>
              <w:rPr>
                <w:rFonts w:hint="eastAsia" w:ascii="宋体" w:hAnsi="宋体"/>
                <w:bCs/>
              </w:rPr>
              <w:t>社会认知理论的知识类型、自我效能的特征、结果期望与自我效能的关系、结果期望与结</w:t>
            </w:r>
          </w:p>
          <w:p w14:paraId="0C3417FC">
            <w:pPr>
              <w:pStyle w:val="15"/>
              <w:widowControl w:val="0"/>
              <w:ind w:right="-120"/>
              <w:jc w:val="left"/>
              <w:rPr>
                <w:rFonts w:hint="eastAsia" w:ascii="宋体" w:hAnsi="宋体" w:eastAsia="宋体"/>
                <w:bCs/>
                <w:lang w:eastAsia="zh-CN"/>
              </w:rPr>
            </w:pPr>
            <w:r>
              <w:rPr>
                <w:rFonts w:hint="eastAsia" w:ascii="宋体" w:hAnsi="宋体"/>
                <w:bCs/>
              </w:rPr>
              <w:t>果预期的区别，社会结构性因素、提升自我效能的方法</w:t>
            </w:r>
            <w:r>
              <w:rPr>
                <w:rFonts w:hint="eastAsia" w:ascii="宋体" w:hAnsi="宋体"/>
                <w:bCs/>
                <w:lang w:eastAsia="zh-CN"/>
              </w:rPr>
              <w:t>；</w:t>
            </w:r>
            <w:r>
              <w:rPr>
                <w:rFonts w:hint="eastAsia" w:ascii="宋体" w:hAnsi="宋体"/>
                <w:bCs/>
              </w:rPr>
              <w:t>三元交互作用</w:t>
            </w:r>
            <w:r>
              <w:rPr>
                <w:rFonts w:hint="eastAsia" w:ascii="宋体" w:hAnsi="宋体"/>
                <w:bCs/>
                <w:lang w:eastAsia="zh-CN"/>
              </w:rPr>
              <w:t>。</w:t>
            </w:r>
          </w:p>
          <w:p w14:paraId="060FC551">
            <w:pPr>
              <w:pStyle w:val="15"/>
              <w:widowControl w:val="0"/>
              <w:ind w:right="-120"/>
              <w:jc w:val="left"/>
              <w:rPr>
                <w:rFonts w:hint="eastAsia" w:ascii="宋体" w:hAnsi="宋体"/>
                <w:b/>
                <w:bCs w:val="0"/>
              </w:rPr>
            </w:pPr>
            <w:r>
              <w:rPr>
                <w:rFonts w:hint="eastAsia" w:ascii="宋体" w:hAnsi="宋体"/>
                <w:b/>
                <w:bCs w:val="0"/>
              </w:rPr>
              <w:t>教学难点：</w:t>
            </w:r>
          </w:p>
          <w:p w14:paraId="6FC6C5C9">
            <w:pPr>
              <w:pStyle w:val="15"/>
              <w:widowControl w:val="0"/>
              <w:ind w:right="-120"/>
              <w:jc w:val="left"/>
              <w:rPr>
                <w:rFonts w:hint="eastAsia" w:ascii="宋体" w:hAnsi="宋体"/>
                <w:bCs/>
              </w:rPr>
            </w:pPr>
            <w:r>
              <w:rPr>
                <w:rFonts w:hint="eastAsia" w:ascii="宋体" w:hAnsi="宋体"/>
                <w:bCs/>
              </w:rPr>
              <w:t>以社会认知理论为框架的健康促进应用案例。</w:t>
            </w:r>
          </w:p>
          <w:p w14:paraId="0EDF8003">
            <w:pPr>
              <w:pStyle w:val="15"/>
              <w:widowControl w:val="0"/>
              <w:ind w:right="-120"/>
              <w:jc w:val="left"/>
              <w:rPr>
                <w:rFonts w:hint="eastAsia" w:ascii="宋体" w:hAnsi="宋体"/>
                <w:bCs/>
              </w:rPr>
            </w:pPr>
          </w:p>
          <w:p w14:paraId="7BE0C9DF">
            <w:pPr>
              <w:pStyle w:val="15"/>
              <w:widowControl w:val="0"/>
              <w:ind w:right="-120"/>
              <w:jc w:val="left"/>
              <w:rPr>
                <w:rFonts w:ascii="宋体" w:hAnsi="宋体"/>
                <w:bCs/>
              </w:rPr>
            </w:pPr>
            <w:r>
              <w:rPr>
                <w:rFonts w:hint="eastAsia" w:ascii="宋体" w:hAnsi="宋体"/>
                <w:bCs/>
              </w:rPr>
              <w:t xml:space="preserve">第七章 </w:t>
            </w:r>
            <w:r>
              <w:rPr>
                <w:rFonts w:ascii="宋体" w:hAnsi="宋体"/>
                <w:bCs/>
              </w:rPr>
              <w:t xml:space="preserve"> </w:t>
            </w:r>
            <w:r>
              <w:rPr>
                <w:rFonts w:hint="eastAsia" w:ascii="宋体" w:hAnsi="宋体"/>
                <w:bCs/>
              </w:rPr>
              <w:t>社会网络与社会支持</w:t>
            </w:r>
          </w:p>
          <w:p w14:paraId="159EA98A">
            <w:pPr>
              <w:pStyle w:val="15"/>
              <w:widowControl w:val="0"/>
              <w:ind w:right="-120"/>
              <w:jc w:val="left"/>
              <w:rPr>
                <w:rFonts w:ascii="宋体" w:hAnsi="宋体"/>
                <w:b/>
                <w:bCs w:val="0"/>
              </w:rPr>
            </w:pPr>
            <w:r>
              <w:rPr>
                <w:rFonts w:hint="eastAsia" w:ascii="宋体" w:hAnsi="宋体"/>
                <w:b/>
                <w:bCs w:val="0"/>
              </w:rPr>
              <w:t>知识点：</w:t>
            </w:r>
          </w:p>
          <w:p w14:paraId="0883E551">
            <w:pPr>
              <w:pStyle w:val="15"/>
              <w:widowControl w:val="0"/>
              <w:ind w:right="-120"/>
              <w:jc w:val="left"/>
              <w:rPr>
                <w:rFonts w:ascii="宋体" w:hAnsi="宋体"/>
                <w:bCs/>
              </w:rPr>
            </w:pPr>
            <w:r>
              <w:rPr>
                <w:rFonts w:hint="eastAsia" w:ascii="宋体" w:hAnsi="宋体"/>
                <w:bCs/>
              </w:rPr>
              <w:t>7.1知道社会网络与社会支持的有关概念、社会网络及社会支持与健康之间的关系。</w:t>
            </w:r>
          </w:p>
          <w:p w14:paraId="6A0C305C">
            <w:pPr>
              <w:pStyle w:val="15"/>
              <w:widowControl w:val="0"/>
              <w:ind w:right="-120"/>
              <w:jc w:val="left"/>
              <w:rPr>
                <w:rFonts w:ascii="宋体" w:hAnsi="宋体"/>
                <w:bCs/>
              </w:rPr>
            </w:pPr>
            <w:r>
              <w:rPr>
                <w:rFonts w:hint="eastAsia" w:ascii="宋体" w:hAnsi="宋体"/>
                <w:bCs/>
              </w:rPr>
              <w:t>7.2理解社会网络的特点、应用社会网络的干预策略。</w:t>
            </w:r>
          </w:p>
          <w:p w14:paraId="076BEFB8">
            <w:pPr>
              <w:pStyle w:val="15"/>
              <w:widowControl w:val="0"/>
              <w:ind w:right="-120"/>
              <w:jc w:val="left"/>
              <w:rPr>
                <w:rFonts w:ascii="宋体" w:hAnsi="宋体"/>
                <w:bCs/>
              </w:rPr>
            </w:pPr>
            <w:r>
              <w:rPr>
                <w:rFonts w:hint="eastAsia" w:ascii="宋体" w:hAnsi="宋体"/>
                <w:bCs/>
              </w:rPr>
              <w:t>7.3了解社会网络与社会支持的发展背景、发展趋势和社会网阔的优缺点。</w:t>
            </w:r>
          </w:p>
          <w:p w14:paraId="4CA2EC77">
            <w:pPr>
              <w:pStyle w:val="15"/>
              <w:widowControl w:val="0"/>
              <w:ind w:right="-120"/>
              <w:jc w:val="left"/>
              <w:rPr>
                <w:rFonts w:hint="eastAsia" w:ascii="宋体" w:hAnsi="宋体"/>
                <w:b/>
                <w:bCs w:val="0"/>
              </w:rPr>
            </w:pPr>
            <w:r>
              <w:rPr>
                <w:rFonts w:hint="eastAsia" w:ascii="宋体" w:hAnsi="宋体"/>
                <w:b/>
                <w:bCs w:val="0"/>
              </w:rPr>
              <w:t>能力要求：</w:t>
            </w:r>
          </w:p>
          <w:p w14:paraId="5F54F514">
            <w:pPr>
              <w:pStyle w:val="15"/>
              <w:widowControl w:val="0"/>
              <w:ind w:right="-120"/>
              <w:jc w:val="left"/>
              <w:rPr>
                <w:rFonts w:ascii="宋体" w:hAnsi="宋体"/>
                <w:bCs/>
              </w:rPr>
            </w:pPr>
            <w:r>
              <w:rPr>
                <w:rFonts w:hint="eastAsia" w:ascii="宋体" w:hAnsi="宋体"/>
                <w:bCs/>
              </w:rPr>
              <w:t>通过社会网络和社会支持的学习，理解人的社会性，学会构建自己的社会网络；</w:t>
            </w:r>
          </w:p>
          <w:p w14:paraId="43A66C21">
            <w:pPr>
              <w:pStyle w:val="15"/>
              <w:widowControl w:val="0"/>
              <w:ind w:right="-120"/>
              <w:jc w:val="left"/>
              <w:rPr>
                <w:rFonts w:ascii="宋体" w:hAnsi="宋体"/>
                <w:bCs/>
              </w:rPr>
            </w:pPr>
            <w:r>
              <w:rPr>
                <w:rFonts w:hint="eastAsia" w:ascii="宋体" w:hAnsi="宋体"/>
                <w:bCs/>
              </w:rPr>
              <w:t>具备运用社会网络与社会支持进行健康教育和健康促进的能力。</w:t>
            </w:r>
          </w:p>
          <w:p w14:paraId="4A8765F7">
            <w:pPr>
              <w:pStyle w:val="15"/>
              <w:widowControl w:val="0"/>
              <w:ind w:right="-120"/>
              <w:jc w:val="left"/>
              <w:rPr>
                <w:rFonts w:hint="eastAsia" w:ascii="宋体" w:hAnsi="宋体"/>
                <w:b/>
                <w:bCs w:val="0"/>
              </w:rPr>
            </w:pPr>
            <w:r>
              <w:rPr>
                <w:rFonts w:hint="eastAsia" w:ascii="宋体" w:hAnsi="宋体"/>
                <w:b/>
                <w:bCs w:val="0"/>
              </w:rPr>
              <w:t>教学重点：</w:t>
            </w:r>
          </w:p>
          <w:p w14:paraId="4D1DE99C">
            <w:pPr>
              <w:pStyle w:val="15"/>
              <w:widowControl w:val="0"/>
              <w:ind w:right="-120"/>
              <w:jc w:val="left"/>
              <w:rPr>
                <w:rFonts w:ascii="宋体" w:hAnsi="宋体"/>
                <w:bCs/>
              </w:rPr>
            </w:pPr>
            <w:r>
              <w:rPr>
                <w:rFonts w:hint="eastAsia" w:ascii="宋体" w:hAnsi="宋体"/>
                <w:bCs/>
              </w:rPr>
              <w:t>社会网络的概念、特征，社会支持的概念、社会网络的功能</w:t>
            </w:r>
          </w:p>
          <w:p w14:paraId="251EC9C8">
            <w:pPr>
              <w:pStyle w:val="15"/>
              <w:widowControl w:val="0"/>
              <w:ind w:right="-120"/>
              <w:jc w:val="left"/>
              <w:rPr>
                <w:rFonts w:hint="eastAsia" w:ascii="宋体" w:hAnsi="宋体"/>
                <w:b/>
                <w:bCs w:val="0"/>
              </w:rPr>
            </w:pPr>
            <w:r>
              <w:rPr>
                <w:rFonts w:hint="eastAsia" w:ascii="宋体" w:hAnsi="宋体"/>
                <w:b/>
                <w:bCs w:val="0"/>
              </w:rPr>
              <w:t>教学难点：</w:t>
            </w:r>
          </w:p>
          <w:p w14:paraId="527239F1">
            <w:pPr>
              <w:pStyle w:val="15"/>
              <w:widowControl w:val="0"/>
              <w:ind w:right="-120"/>
              <w:jc w:val="left"/>
              <w:rPr>
                <w:rFonts w:ascii="宋体" w:hAnsi="宋体"/>
                <w:bCs/>
              </w:rPr>
            </w:pPr>
            <w:r>
              <w:rPr>
                <w:rFonts w:hint="eastAsia" w:ascii="宋体" w:hAnsi="宋体"/>
                <w:bCs/>
              </w:rPr>
              <w:t>社会网络及社会支持对健康的影响路径</w:t>
            </w:r>
          </w:p>
          <w:p w14:paraId="3B33F2D8">
            <w:pPr>
              <w:pStyle w:val="15"/>
              <w:widowControl w:val="0"/>
              <w:ind w:right="-120"/>
              <w:jc w:val="left"/>
              <w:rPr>
                <w:rFonts w:ascii="宋体" w:hAnsi="宋体"/>
                <w:bCs/>
              </w:rPr>
            </w:pPr>
          </w:p>
          <w:p w14:paraId="4C46522B">
            <w:pPr>
              <w:pStyle w:val="15"/>
              <w:widowControl w:val="0"/>
              <w:ind w:right="-120"/>
              <w:jc w:val="left"/>
              <w:rPr>
                <w:rFonts w:ascii="宋体" w:hAnsi="宋体"/>
                <w:bCs/>
              </w:rPr>
            </w:pPr>
            <w:r>
              <w:rPr>
                <w:rFonts w:ascii="宋体" w:hAnsi="宋体"/>
                <w:bCs/>
              </w:rPr>
              <w:t>第八章</w:t>
            </w:r>
            <w:r>
              <w:rPr>
                <w:rFonts w:hint="eastAsia" w:ascii="宋体" w:hAnsi="宋体"/>
                <w:bCs/>
              </w:rPr>
              <w:t xml:space="preserve"> </w:t>
            </w:r>
            <w:r>
              <w:rPr>
                <w:rFonts w:ascii="宋体" w:hAnsi="宋体"/>
                <w:bCs/>
              </w:rPr>
              <w:t xml:space="preserve"> </w:t>
            </w:r>
            <w:r>
              <w:rPr>
                <w:rFonts w:hint="eastAsia" w:ascii="宋体" w:hAnsi="宋体"/>
                <w:bCs/>
              </w:rPr>
              <w:t>社区与组织机构改变理论</w:t>
            </w:r>
          </w:p>
          <w:p w14:paraId="469375C2">
            <w:pPr>
              <w:pStyle w:val="15"/>
              <w:widowControl w:val="0"/>
              <w:ind w:right="-120"/>
              <w:jc w:val="left"/>
              <w:rPr>
                <w:rFonts w:ascii="宋体" w:hAnsi="宋体"/>
                <w:b/>
                <w:bCs w:val="0"/>
              </w:rPr>
            </w:pPr>
            <w:r>
              <w:rPr>
                <w:rFonts w:hint="eastAsia" w:ascii="宋体" w:hAnsi="宋体"/>
                <w:b/>
                <w:bCs w:val="0"/>
              </w:rPr>
              <w:t>知识点：</w:t>
            </w:r>
          </w:p>
          <w:p w14:paraId="16F7E816">
            <w:pPr>
              <w:pStyle w:val="15"/>
              <w:widowControl w:val="0"/>
              <w:ind w:right="-120"/>
              <w:jc w:val="left"/>
              <w:rPr>
                <w:rFonts w:ascii="宋体" w:hAnsi="宋体"/>
                <w:bCs/>
              </w:rPr>
            </w:pPr>
            <w:r>
              <w:rPr>
                <w:rFonts w:hint="eastAsia" w:ascii="宋体" w:hAnsi="宋体"/>
                <w:bCs/>
              </w:rPr>
              <w:t>8.1知道社区组织的定义，社区组织理论和组织机构改变理论的关键概念。</w:t>
            </w:r>
          </w:p>
          <w:p w14:paraId="44AC9FD9">
            <w:pPr>
              <w:pStyle w:val="15"/>
              <w:widowControl w:val="0"/>
              <w:ind w:right="-120"/>
              <w:jc w:val="left"/>
              <w:rPr>
                <w:rFonts w:ascii="宋体" w:hAnsi="宋体"/>
                <w:bCs/>
              </w:rPr>
            </w:pPr>
            <w:r>
              <w:rPr>
                <w:rFonts w:hint="eastAsia" w:ascii="宋体" w:hAnsi="宋体"/>
                <w:bCs/>
              </w:rPr>
              <w:t>8.2了解社区与组织机构改变理论的发展。</w:t>
            </w:r>
          </w:p>
          <w:p w14:paraId="00BD3226">
            <w:pPr>
              <w:pStyle w:val="15"/>
              <w:widowControl w:val="0"/>
              <w:ind w:right="-120"/>
              <w:jc w:val="left"/>
              <w:rPr>
                <w:rFonts w:hint="eastAsia" w:ascii="宋体" w:hAnsi="宋体"/>
                <w:bCs/>
              </w:rPr>
            </w:pPr>
            <w:r>
              <w:rPr>
                <w:rFonts w:hint="eastAsia" w:ascii="宋体" w:hAnsi="宋体"/>
                <w:bCs/>
              </w:rPr>
              <w:t>8.3理解社区组织理论模型的分类和实施步骤，集中常见组织机构改变理论的主要框架，</w:t>
            </w:r>
          </w:p>
          <w:p w14:paraId="214B03E1">
            <w:pPr>
              <w:pStyle w:val="15"/>
              <w:widowControl w:val="0"/>
              <w:ind w:right="-120"/>
              <w:jc w:val="left"/>
              <w:rPr>
                <w:rFonts w:ascii="宋体" w:hAnsi="宋体"/>
                <w:bCs/>
              </w:rPr>
            </w:pPr>
            <w:r>
              <w:rPr>
                <w:rFonts w:hint="eastAsia" w:ascii="宋体" w:hAnsi="宋体"/>
                <w:bCs/>
              </w:rPr>
              <w:t>社区与组织机构改变理论在健康促进实践中的应用。</w:t>
            </w:r>
          </w:p>
          <w:p w14:paraId="1D802EF1">
            <w:pPr>
              <w:pStyle w:val="15"/>
              <w:widowControl w:val="0"/>
              <w:ind w:right="-120"/>
              <w:jc w:val="left"/>
              <w:rPr>
                <w:rFonts w:hint="eastAsia" w:ascii="宋体" w:hAnsi="宋体"/>
                <w:bCs/>
              </w:rPr>
            </w:pPr>
            <w:r>
              <w:rPr>
                <w:rFonts w:hint="eastAsia" w:ascii="宋体" w:hAnsi="宋体"/>
                <w:b/>
                <w:bCs w:val="0"/>
              </w:rPr>
              <w:t>能力要求：</w:t>
            </w:r>
            <w:r>
              <w:rPr>
                <w:rFonts w:hint="eastAsia" w:ascii="宋体" w:hAnsi="宋体"/>
                <w:bCs/>
              </w:rPr>
              <w:t>通过对社区组织理论的关键概念的学习，培养发现问题，调查问题，并解决问</w:t>
            </w:r>
          </w:p>
          <w:p w14:paraId="3AF98C8E">
            <w:pPr>
              <w:pStyle w:val="15"/>
              <w:widowControl w:val="0"/>
              <w:ind w:right="-120"/>
              <w:jc w:val="left"/>
              <w:rPr>
                <w:rFonts w:ascii="宋体" w:hAnsi="宋体"/>
                <w:bCs/>
              </w:rPr>
            </w:pPr>
            <w:r>
              <w:rPr>
                <w:rFonts w:hint="eastAsia" w:ascii="宋体" w:hAnsi="宋体"/>
                <w:bCs/>
              </w:rPr>
              <w:t>题的能力。</w:t>
            </w:r>
          </w:p>
          <w:p w14:paraId="5AB4EB76">
            <w:pPr>
              <w:pStyle w:val="15"/>
              <w:widowControl w:val="0"/>
              <w:ind w:right="-120"/>
              <w:jc w:val="left"/>
              <w:rPr>
                <w:rFonts w:hint="eastAsia" w:ascii="宋体" w:hAnsi="宋体"/>
                <w:b/>
                <w:bCs w:val="0"/>
              </w:rPr>
            </w:pPr>
            <w:r>
              <w:rPr>
                <w:rFonts w:hint="eastAsia" w:ascii="宋体" w:hAnsi="宋体"/>
                <w:b/>
                <w:bCs w:val="0"/>
              </w:rPr>
              <w:t>教学重点：</w:t>
            </w:r>
          </w:p>
          <w:p w14:paraId="1F3F845B">
            <w:pPr>
              <w:pStyle w:val="15"/>
              <w:widowControl w:val="0"/>
              <w:ind w:right="-120"/>
              <w:jc w:val="left"/>
              <w:rPr>
                <w:rFonts w:ascii="宋体" w:hAnsi="宋体"/>
                <w:bCs/>
              </w:rPr>
            </w:pPr>
            <w:r>
              <w:rPr>
                <w:rFonts w:hint="eastAsia" w:ascii="宋体" w:hAnsi="宋体"/>
                <w:bCs/>
              </w:rPr>
              <w:t>组织机构改变理论（组织阶段改变理论和组织发展理论）的主要框架</w:t>
            </w:r>
          </w:p>
          <w:p w14:paraId="06D7F344">
            <w:pPr>
              <w:pStyle w:val="15"/>
              <w:widowControl w:val="0"/>
              <w:ind w:right="-120"/>
              <w:jc w:val="left"/>
              <w:rPr>
                <w:rFonts w:hint="eastAsia" w:ascii="宋体" w:hAnsi="宋体"/>
                <w:b/>
                <w:bCs w:val="0"/>
              </w:rPr>
            </w:pPr>
            <w:r>
              <w:rPr>
                <w:rFonts w:hint="eastAsia" w:ascii="宋体" w:hAnsi="宋体"/>
                <w:b/>
                <w:bCs w:val="0"/>
              </w:rPr>
              <w:t>教学难点：</w:t>
            </w:r>
          </w:p>
          <w:p w14:paraId="3310BA90">
            <w:pPr>
              <w:pStyle w:val="15"/>
              <w:widowControl w:val="0"/>
              <w:ind w:right="-120"/>
              <w:jc w:val="left"/>
              <w:rPr>
                <w:rFonts w:ascii="宋体" w:hAnsi="宋体"/>
                <w:bCs/>
              </w:rPr>
            </w:pPr>
            <w:r>
              <w:rPr>
                <w:rFonts w:hint="eastAsia" w:ascii="宋体" w:hAnsi="宋体"/>
                <w:bCs/>
              </w:rPr>
              <w:t>社区与组织机构改变理论在健康促进实践中的应用</w:t>
            </w:r>
            <w:r>
              <w:rPr>
                <w:rFonts w:hint="eastAsia" w:ascii="宋体" w:hAnsi="宋体"/>
                <w:bCs/>
                <w:lang w:eastAsia="zh-CN"/>
              </w:rPr>
              <w:t>；</w:t>
            </w:r>
            <w:r>
              <w:rPr>
                <w:rFonts w:hint="eastAsia" w:ascii="宋体" w:hAnsi="宋体"/>
                <w:bCs/>
              </w:rPr>
              <w:t>社区发展的基本步骤</w:t>
            </w:r>
          </w:p>
          <w:p w14:paraId="3FD910E6">
            <w:pPr>
              <w:pStyle w:val="15"/>
              <w:widowControl w:val="0"/>
              <w:ind w:right="-120"/>
              <w:jc w:val="left"/>
              <w:rPr>
                <w:rFonts w:ascii="宋体" w:hAnsi="宋体"/>
                <w:bCs/>
              </w:rPr>
            </w:pPr>
          </w:p>
          <w:p w14:paraId="14097239">
            <w:pPr>
              <w:pStyle w:val="15"/>
              <w:widowControl w:val="0"/>
              <w:ind w:right="-120"/>
              <w:jc w:val="left"/>
              <w:rPr>
                <w:rFonts w:ascii="宋体" w:hAnsi="宋体"/>
                <w:bCs/>
              </w:rPr>
            </w:pPr>
            <w:r>
              <w:rPr>
                <w:rFonts w:hint="eastAsia" w:ascii="宋体" w:hAnsi="宋体"/>
                <w:bCs/>
              </w:rPr>
              <w:t xml:space="preserve">第九章 </w:t>
            </w:r>
            <w:r>
              <w:rPr>
                <w:rFonts w:ascii="宋体" w:hAnsi="宋体"/>
                <w:bCs/>
              </w:rPr>
              <w:t xml:space="preserve"> </w:t>
            </w:r>
            <w:r>
              <w:rPr>
                <w:rFonts w:hint="eastAsia" w:ascii="宋体" w:hAnsi="宋体"/>
                <w:bCs/>
              </w:rPr>
              <w:t>创新扩散理论</w:t>
            </w:r>
          </w:p>
          <w:p w14:paraId="604950CB">
            <w:pPr>
              <w:pStyle w:val="15"/>
              <w:widowControl w:val="0"/>
              <w:ind w:right="-120"/>
              <w:jc w:val="left"/>
              <w:rPr>
                <w:rFonts w:ascii="宋体" w:hAnsi="宋体"/>
                <w:b/>
                <w:bCs w:val="0"/>
              </w:rPr>
            </w:pPr>
            <w:r>
              <w:rPr>
                <w:rFonts w:hint="eastAsia" w:ascii="宋体" w:hAnsi="宋体"/>
                <w:b/>
                <w:bCs w:val="0"/>
              </w:rPr>
              <w:t>知识点：</w:t>
            </w:r>
          </w:p>
          <w:p w14:paraId="6F29C3F7">
            <w:pPr>
              <w:pStyle w:val="15"/>
              <w:widowControl w:val="0"/>
              <w:ind w:right="-120"/>
              <w:jc w:val="left"/>
              <w:rPr>
                <w:rFonts w:ascii="宋体" w:hAnsi="宋体"/>
                <w:bCs/>
              </w:rPr>
            </w:pPr>
            <w:r>
              <w:rPr>
                <w:rFonts w:hint="eastAsia" w:ascii="宋体" w:hAnsi="宋体"/>
                <w:bCs/>
              </w:rPr>
              <w:t>9.1知道创新扩散理论的概念，四要素，创新扩散过程，影响创新扩散过程的因素。</w:t>
            </w:r>
          </w:p>
          <w:p w14:paraId="3BF86199">
            <w:pPr>
              <w:pStyle w:val="15"/>
              <w:widowControl w:val="0"/>
              <w:ind w:right="-120"/>
              <w:jc w:val="left"/>
              <w:rPr>
                <w:rFonts w:ascii="宋体" w:hAnsi="宋体"/>
                <w:bCs/>
              </w:rPr>
            </w:pPr>
            <w:r>
              <w:rPr>
                <w:rFonts w:hint="eastAsia" w:ascii="宋体" w:hAnsi="宋体"/>
                <w:bCs/>
              </w:rPr>
              <w:t>9.2理解面对创新，人们呈现的不同反应类型，创新扩散理论的S型曲线。</w:t>
            </w:r>
          </w:p>
          <w:p w14:paraId="11C00A2D">
            <w:pPr>
              <w:pStyle w:val="15"/>
              <w:widowControl w:val="0"/>
              <w:ind w:right="-120"/>
              <w:jc w:val="left"/>
              <w:rPr>
                <w:rFonts w:ascii="宋体" w:hAnsi="宋体"/>
                <w:bCs/>
              </w:rPr>
            </w:pPr>
            <w:r>
              <w:rPr>
                <w:rFonts w:hint="eastAsia" w:ascii="宋体" w:hAnsi="宋体"/>
                <w:bCs/>
              </w:rPr>
              <w:t>9.3了解创新扩散的理论背景和发展，创新扩散理论的优缺点。</w:t>
            </w:r>
          </w:p>
          <w:p w14:paraId="34C196CB">
            <w:pPr>
              <w:pStyle w:val="15"/>
              <w:widowControl w:val="0"/>
              <w:ind w:right="-120"/>
              <w:jc w:val="left"/>
              <w:rPr>
                <w:rFonts w:hint="eastAsia" w:ascii="宋体" w:hAnsi="宋体"/>
                <w:b/>
                <w:bCs w:val="0"/>
              </w:rPr>
            </w:pPr>
            <w:r>
              <w:rPr>
                <w:rFonts w:hint="eastAsia" w:ascii="宋体" w:hAnsi="宋体"/>
                <w:b/>
                <w:bCs w:val="0"/>
              </w:rPr>
              <w:t>能力要求：</w:t>
            </w:r>
          </w:p>
          <w:p w14:paraId="0FE96C0F">
            <w:pPr>
              <w:pStyle w:val="15"/>
              <w:widowControl w:val="0"/>
              <w:ind w:right="-120"/>
              <w:jc w:val="left"/>
              <w:rPr>
                <w:rFonts w:hint="eastAsia" w:ascii="宋体" w:hAnsi="宋体"/>
                <w:bCs/>
              </w:rPr>
            </w:pPr>
            <w:r>
              <w:rPr>
                <w:rFonts w:hint="eastAsia" w:ascii="宋体" w:hAnsi="宋体"/>
                <w:bCs/>
              </w:rPr>
              <w:t>运用健康教育学所学的相关理论，为制定健康教育与健康促进干预策略提供新思路。锻炼</w:t>
            </w:r>
          </w:p>
          <w:p w14:paraId="5B065084">
            <w:pPr>
              <w:pStyle w:val="15"/>
              <w:widowControl w:val="0"/>
              <w:ind w:right="-120"/>
              <w:jc w:val="left"/>
              <w:rPr>
                <w:rFonts w:ascii="宋体" w:hAnsi="宋体"/>
                <w:bCs/>
              </w:rPr>
            </w:pPr>
            <w:r>
              <w:rPr>
                <w:rFonts w:hint="eastAsia" w:ascii="宋体" w:hAnsi="宋体"/>
                <w:bCs/>
              </w:rPr>
              <w:t>创新思维；通过对创新扩散理论优缺点的学习，学会客观评价事物的方法。</w:t>
            </w:r>
          </w:p>
          <w:p w14:paraId="4D758804">
            <w:pPr>
              <w:pStyle w:val="15"/>
              <w:widowControl w:val="0"/>
              <w:ind w:right="-120"/>
              <w:jc w:val="left"/>
              <w:rPr>
                <w:rFonts w:hint="eastAsia" w:ascii="宋体" w:hAnsi="宋体"/>
                <w:b/>
                <w:bCs w:val="0"/>
              </w:rPr>
            </w:pPr>
            <w:r>
              <w:rPr>
                <w:rFonts w:hint="eastAsia" w:ascii="宋体" w:hAnsi="宋体"/>
                <w:b/>
                <w:bCs w:val="0"/>
              </w:rPr>
              <w:t>教学重点：</w:t>
            </w:r>
          </w:p>
          <w:p w14:paraId="222786F2">
            <w:pPr>
              <w:pStyle w:val="15"/>
              <w:widowControl w:val="0"/>
              <w:ind w:right="-120"/>
              <w:jc w:val="left"/>
              <w:rPr>
                <w:rFonts w:ascii="宋体" w:hAnsi="宋体"/>
                <w:bCs/>
              </w:rPr>
            </w:pPr>
            <w:r>
              <w:rPr>
                <w:rFonts w:hint="eastAsia" w:ascii="宋体" w:hAnsi="宋体"/>
                <w:bCs/>
              </w:rPr>
              <w:t>创新扩散理论的概念和四要素，面对创新人们呈现的不同反应类型。</w:t>
            </w:r>
          </w:p>
          <w:p w14:paraId="609E8881">
            <w:pPr>
              <w:pStyle w:val="15"/>
              <w:widowControl w:val="0"/>
              <w:ind w:right="-120"/>
              <w:jc w:val="left"/>
              <w:rPr>
                <w:rFonts w:hint="eastAsia" w:ascii="宋体" w:hAnsi="宋体"/>
                <w:b/>
                <w:bCs w:val="0"/>
              </w:rPr>
            </w:pPr>
            <w:r>
              <w:rPr>
                <w:rFonts w:hint="eastAsia" w:ascii="宋体" w:hAnsi="宋体"/>
                <w:b/>
                <w:bCs w:val="0"/>
              </w:rPr>
              <w:t>教学难点：</w:t>
            </w:r>
          </w:p>
          <w:p w14:paraId="1BBC73DA">
            <w:pPr>
              <w:pStyle w:val="15"/>
              <w:widowControl w:val="0"/>
              <w:ind w:right="-120"/>
              <w:jc w:val="left"/>
              <w:rPr>
                <w:rFonts w:ascii="宋体" w:hAnsi="宋体"/>
                <w:bCs/>
              </w:rPr>
            </w:pPr>
            <w:r>
              <w:rPr>
                <w:rFonts w:hint="eastAsia" w:ascii="宋体" w:hAnsi="宋体"/>
                <w:bCs/>
              </w:rPr>
              <w:t>理解影响创新扩散过程的因素</w:t>
            </w:r>
          </w:p>
          <w:p w14:paraId="4889A700">
            <w:pPr>
              <w:pStyle w:val="15"/>
              <w:widowControl w:val="0"/>
              <w:ind w:right="-120"/>
              <w:jc w:val="left"/>
              <w:rPr>
                <w:rFonts w:ascii="宋体" w:hAnsi="宋体"/>
                <w:bCs/>
              </w:rPr>
            </w:pPr>
          </w:p>
          <w:p w14:paraId="2C0FAC6A">
            <w:pPr>
              <w:pStyle w:val="15"/>
              <w:widowControl w:val="0"/>
              <w:ind w:right="-120"/>
              <w:jc w:val="left"/>
              <w:rPr>
                <w:rFonts w:ascii="宋体" w:hAnsi="宋体"/>
                <w:bCs/>
              </w:rPr>
            </w:pPr>
            <w:r>
              <w:rPr>
                <w:rFonts w:hint="eastAsia" w:ascii="宋体" w:hAnsi="宋体"/>
                <w:bCs/>
              </w:rPr>
              <w:t xml:space="preserve">第十章 </w:t>
            </w:r>
            <w:r>
              <w:rPr>
                <w:rFonts w:ascii="宋体" w:hAnsi="宋体"/>
                <w:bCs/>
              </w:rPr>
              <w:t xml:space="preserve"> </w:t>
            </w:r>
            <w:r>
              <w:rPr>
                <w:rFonts w:hint="eastAsia" w:ascii="宋体" w:hAnsi="宋体"/>
                <w:bCs/>
              </w:rPr>
              <w:t>社会营销</w:t>
            </w:r>
          </w:p>
          <w:p w14:paraId="489A5EDC">
            <w:pPr>
              <w:pStyle w:val="15"/>
              <w:widowControl w:val="0"/>
              <w:ind w:right="-120"/>
              <w:jc w:val="left"/>
              <w:rPr>
                <w:rFonts w:ascii="宋体" w:hAnsi="宋体"/>
                <w:b/>
                <w:bCs w:val="0"/>
              </w:rPr>
            </w:pPr>
            <w:r>
              <w:rPr>
                <w:rFonts w:hint="eastAsia" w:ascii="宋体" w:hAnsi="宋体"/>
                <w:b/>
                <w:bCs w:val="0"/>
              </w:rPr>
              <w:t>知识点：</w:t>
            </w:r>
          </w:p>
          <w:p w14:paraId="7EBF8514">
            <w:pPr>
              <w:pStyle w:val="15"/>
              <w:widowControl w:val="0"/>
              <w:ind w:right="-120"/>
              <w:jc w:val="left"/>
              <w:rPr>
                <w:rFonts w:ascii="宋体" w:hAnsi="宋体"/>
                <w:bCs/>
              </w:rPr>
            </w:pPr>
            <w:r>
              <w:rPr>
                <w:rFonts w:hint="eastAsia" w:ascii="宋体" w:hAnsi="宋体"/>
                <w:bCs/>
              </w:rPr>
              <w:t>10.1 知道社会营销的概念，社会营销的发展历程。</w:t>
            </w:r>
          </w:p>
          <w:p w14:paraId="0CF167A1">
            <w:pPr>
              <w:pStyle w:val="15"/>
              <w:widowControl w:val="0"/>
              <w:ind w:right="-120"/>
              <w:jc w:val="left"/>
              <w:rPr>
                <w:rFonts w:ascii="宋体" w:hAnsi="宋体"/>
                <w:bCs/>
              </w:rPr>
            </w:pPr>
            <w:r>
              <w:rPr>
                <w:rFonts w:hint="eastAsia" w:ascii="宋体" w:hAnsi="宋体"/>
                <w:bCs/>
              </w:rPr>
              <w:t>10.2 理解社会营销的构成要素，社会营销与市场营销的区别。</w:t>
            </w:r>
          </w:p>
          <w:p w14:paraId="6A4CC844">
            <w:pPr>
              <w:pStyle w:val="15"/>
              <w:widowControl w:val="0"/>
              <w:ind w:right="-120"/>
              <w:jc w:val="left"/>
              <w:rPr>
                <w:rFonts w:ascii="宋体" w:hAnsi="宋体"/>
                <w:bCs/>
              </w:rPr>
            </w:pPr>
            <w:r>
              <w:rPr>
                <w:rFonts w:hint="eastAsia" w:ascii="宋体" w:hAnsi="宋体"/>
                <w:bCs/>
              </w:rPr>
              <w:t>10.3了解社会营销在健康教育与健康促进领域中的应用。</w:t>
            </w:r>
          </w:p>
          <w:p w14:paraId="301E11F8">
            <w:pPr>
              <w:pStyle w:val="15"/>
              <w:widowControl w:val="0"/>
              <w:ind w:right="-120"/>
              <w:jc w:val="left"/>
              <w:rPr>
                <w:rFonts w:hint="eastAsia" w:ascii="宋体" w:hAnsi="宋体"/>
                <w:b/>
                <w:bCs w:val="0"/>
              </w:rPr>
            </w:pPr>
            <w:r>
              <w:rPr>
                <w:rFonts w:hint="eastAsia" w:ascii="宋体" w:hAnsi="宋体"/>
                <w:b/>
                <w:bCs w:val="0"/>
              </w:rPr>
              <w:t>能力要求：</w:t>
            </w:r>
          </w:p>
          <w:p w14:paraId="493F2683">
            <w:pPr>
              <w:pStyle w:val="15"/>
              <w:widowControl w:val="0"/>
              <w:ind w:right="-120"/>
              <w:jc w:val="left"/>
              <w:rPr>
                <w:rFonts w:hint="eastAsia" w:ascii="宋体" w:hAnsi="宋体"/>
                <w:bCs/>
              </w:rPr>
            </w:pPr>
            <w:r>
              <w:rPr>
                <w:rFonts w:hint="eastAsia" w:ascii="宋体" w:hAnsi="宋体"/>
                <w:bCs/>
              </w:rPr>
              <w:t>通过对社会营销中收益的50个主要社会问题的学习，增强保护环境、防止伤害、社区参与</w:t>
            </w:r>
          </w:p>
          <w:p w14:paraId="46150020">
            <w:pPr>
              <w:pStyle w:val="15"/>
              <w:widowControl w:val="0"/>
              <w:ind w:right="-120"/>
              <w:jc w:val="left"/>
              <w:rPr>
                <w:rFonts w:ascii="宋体" w:hAnsi="宋体"/>
                <w:bCs/>
              </w:rPr>
            </w:pPr>
            <w:r>
              <w:rPr>
                <w:rFonts w:hint="eastAsia" w:ascii="宋体" w:hAnsi="宋体"/>
                <w:bCs/>
              </w:rPr>
              <w:t>和公共健康问题的意识；通过对社会营销和市场营销的不同特征，学会比较学习的方法。</w:t>
            </w:r>
          </w:p>
          <w:p w14:paraId="44910990">
            <w:pPr>
              <w:pStyle w:val="15"/>
              <w:widowControl w:val="0"/>
              <w:ind w:right="-120"/>
              <w:jc w:val="left"/>
              <w:rPr>
                <w:rFonts w:hint="eastAsia" w:ascii="宋体" w:hAnsi="宋体"/>
                <w:b/>
                <w:bCs w:val="0"/>
              </w:rPr>
            </w:pPr>
            <w:r>
              <w:rPr>
                <w:rFonts w:hint="eastAsia" w:ascii="宋体" w:hAnsi="宋体"/>
                <w:b/>
                <w:bCs w:val="0"/>
              </w:rPr>
              <w:t>教学重点：</w:t>
            </w:r>
          </w:p>
          <w:p w14:paraId="605DF615">
            <w:pPr>
              <w:pStyle w:val="15"/>
              <w:widowControl w:val="0"/>
              <w:ind w:right="-120"/>
              <w:jc w:val="left"/>
              <w:rPr>
                <w:rFonts w:ascii="宋体" w:hAnsi="宋体"/>
                <w:bCs/>
              </w:rPr>
            </w:pPr>
            <w:r>
              <w:rPr>
                <w:rFonts w:hint="eastAsia" w:ascii="宋体" w:hAnsi="宋体"/>
                <w:bCs/>
              </w:rPr>
              <w:t>社会营销和市场营销的区别。</w:t>
            </w:r>
          </w:p>
          <w:p w14:paraId="12A6EF0A">
            <w:pPr>
              <w:pStyle w:val="15"/>
              <w:widowControl w:val="0"/>
              <w:ind w:right="-120"/>
              <w:jc w:val="left"/>
              <w:rPr>
                <w:rFonts w:hint="eastAsia" w:ascii="宋体" w:hAnsi="宋体"/>
                <w:b/>
                <w:bCs w:val="0"/>
              </w:rPr>
            </w:pPr>
            <w:r>
              <w:rPr>
                <w:rFonts w:hint="eastAsia" w:ascii="宋体" w:hAnsi="宋体"/>
                <w:b/>
                <w:bCs w:val="0"/>
              </w:rPr>
              <w:t>教学难点：</w:t>
            </w:r>
          </w:p>
          <w:p w14:paraId="68051F1E">
            <w:pPr>
              <w:pStyle w:val="15"/>
              <w:widowControl w:val="0"/>
              <w:ind w:right="-120"/>
              <w:jc w:val="left"/>
              <w:rPr>
                <w:rFonts w:ascii="宋体" w:hAnsi="宋体"/>
                <w:bCs/>
              </w:rPr>
            </w:pPr>
            <w:r>
              <w:rPr>
                <w:rFonts w:hint="eastAsia" w:ascii="宋体" w:hAnsi="宋体"/>
                <w:bCs/>
              </w:rPr>
              <w:t>社会营销在健康教育与健康促进领域中的应用。</w:t>
            </w:r>
          </w:p>
          <w:p w14:paraId="1AA708A1">
            <w:pPr>
              <w:pStyle w:val="15"/>
              <w:widowControl w:val="0"/>
              <w:ind w:right="-120"/>
              <w:jc w:val="left"/>
              <w:rPr>
                <w:rFonts w:ascii="宋体" w:hAnsi="宋体"/>
                <w:bCs/>
              </w:rPr>
            </w:pPr>
          </w:p>
          <w:p w14:paraId="546C7C87">
            <w:pPr>
              <w:pStyle w:val="15"/>
              <w:widowControl w:val="0"/>
              <w:ind w:right="-120"/>
              <w:jc w:val="left"/>
              <w:rPr>
                <w:rFonts w:ascii="宋体" w:hAnsi="宋体"/>
                <w:bCs/>
              </w:rPr>
            </w:pPr>
            <w:r>
              <w:rPr>
                <w:rFonts w:hint="eastAsia" w:ascii="宋体" w:hAnsi="宋体"/>
                <w:bCs/>
              </w:rPr>
              <w:t xml:space="preserve">第十一章 </w:t>
            </w:r>
            <w:r>
              <w:rPr>
                <w:rFonts w:ascii="宋体" w:hAnsi="宋体"/>
                <w:bCs/>
              </w:rPr>
              <w:t xml:space="preserve"> </w:t>
            </w:r>
            <w:r>
              <w:rPr>
                <w:rFonts w:hint="eastAsia" w:ascii="宋体" w:hAnsi="宋体"/>
                <w:bCs/>
              </w:rPr>
              <w:t>健康教育与健康促进项目的设计、实施与评价</w:t>
            </w:r>
          </w:p>
          <w:p w14:paraId="284BF491">
            <w:pPr>
              <w:pStyle w:val="15"/>
              <w:widowControl w:val="0"/>
              <w:ind w:right="-120"/>
              <w:jc w:val="left"/>
              <w:rPr>
                <w:rFonts w:ascii="宋体" w:hAnsi="宋体"/>
                <w:b/>
                <w:bCs w:val="0"/>
              </w:rPr>
            </w:pPr>
            <w:r>
              <w:rPr>
                <w:rFonts w:hint="eastAsia" w:ascii="宋体" w:hAnsi="宋体"/>
                <w:b/>
                <w:bCs w:val="0"/>
              </w:rPr>
              <w:t>知识点：</w:t>
            </w:r>
          </w:p>
          <w:p w14:paraId="60197944">
            <w:pPr>
              <w:pStyle w:val="15"/>
              <w:widowControl w:val="0"/>
              <w:ind w:right="-120"/>
              <w:jc w:val="left"/>
              <w:rPr>
                <w:rFonts w:ascii="宋体" w:hAnsi="宋体"/>
                <w:bCs/>
              </w:rPr>
            </w:pPr>
            <w:r>
              <w:rPr>
                <w:rFonts w:hint="eastAsia" w:ascii="宋体" w:hAnsi="宋体"/>
                <w:bCs/>
              </w:rPr>
              <w:t>11.1知道格林模式的基本概念，健康教育与健康促进需求评价的主要内容，计划设计的步骤，健康教育评价的常见类型和概念，行为诊断的主要任务，倾向因素、促成因素和强化因素。</w:t>
            </w:r>
          </w:p>
          <w:p w14:paraId="7E45CD82">
            <w:pPr>
              <w:pStyle w:val="15"/>
              <w:widowControl w:val="0"/>
              <w:ind w:right="-120"/>
              <w:jc w:val="left"/>
              <w:rPr>
                <w:rFonts w:hint="eastAsia" w:ascii="宋体" w:hAnsi="宋体"/>
                <w:bCs/>
              </w:rPr>
            </w:pPr>
            <w:r>
              <w:rPr>
                <w:rFonts w:hint="eastAsia" w:ascii="宋体" w:hAnsi="宋体"/>
                <w:bCs/>
              </w:rPr>
              <w:t>11.2理解健康教育计划设计的基本原则，具体目标设计的SMART原则，确定需优先解决的</w:t>
            </w:r>
          </w:p>
          <w:p w14:paraId="6A5B2F8C">
            <w:pPr>
              <w:pStyle w:val="15"/>
              <w:widowControl w:val="0"/>
              <w:ind w:right="-120"/>
              <w:jc w:val="left"/>
              <w:rPr>
                <w:rFonts w:ascii="宋体" w:hAnsi="宋体"/>
                <w:bCs/>
              </w:rPr>
            </w:pPr>
            <w:r>
              <w:rPr>
                <w:rFonts w:hint="eastAsia" w:ascii="宋体" w:hAnsi="宋体"/>
                <w:bCs/>
              </w:rPr>
              <w:t>健康问题的基本原则。</w:t>
            </w:r>
          </w:p>
          <w:p w14:paraId="7F2DBDCC">
            <w:pPr>
              <w:pStyle w:val="15"/>
              <w:widowControl w:val="0"/>
              <w:ind w:right="-120"/>
              <w:jc w:val="left"/>
              <w:rPr>
                <w:rFonts w:ascii="宋体" w:hAnsi="宋体"/>
                <w:bCs/>
              </w:rPr>
            </w:pPr>
            <w:r>
              <w:rPr>
                <w:rFonts w:hint="eastAsia" w:ascii="宋体" w:hAnsi="宋体"/>
                <w:bCs/>
              </w:rPr>
              <w:t>11.3了解健康教育与健康促进项目实施过程的主要环节，影响健康教育项目评价结果的因素。</w:t>
            </w:r>
          </w:p>
          <w:p w14:paraId="14231B2B">
            <w:pPr>
              <w:pStyle w:val="15"/>
              <w:widowControl w:val="0"/>
              <w:ind w:right="-120"/>
              <w:jc w:val="left"/>
              <w:rPr>
                <w:rFonts w:hint="eastAsia" w:ascii="宋体" w:hAnsi="宋体"/>
                <w:b/>
                <w:bCs w:val="0"/>
              </w:rPr>
            </w:pPr>
            <w:r>
              <w:rPr>
                <w:rFonts w:hint="eastAsia" w:ascii="宋体" w:hAnsi="宋体"/>
                <w:b/>
                <w:bCs w:val="0"/>
              </w:rPr>
              <w:t>能力要求：</w:t>
            </w:r>
          </w:p>
          <w:p w14:paraId="2DA3D4F1">
            <w:pPr>
              <w:pStyle w:val="15"/>
              <w:widowControl w:val="0"/>
              <w:ind w:right="-120"/>
              <w:jc w:val="left"/>
              <w:rPr>
                <w:rFonts w:hint="eastAsia" w:ascii="宋体" w:hAnsi="宋体"/>
                <w:bCs/>
              </w:rPr>
            </w:pPr>
            <w:r>
              <w:rPr>
                <w:rFonts w:hint="eastAsia" w:ascii="宋体" w:hAnsi="宋体"/>
                <w:bCs/>
              </w:rPr>
              <w:t>通过健康教育与健康促进项目的设计、实施与评价，学会根据需要确定学习目标，并设计</w:t>
            </w:r>
          </w:p>
          <w:p w14:paraId="7D7E1BB7">
            <w:pPr>
              <w:pStyle w:val="15"/>
              <w:widowControl w:val="0"/>
              <w:ind w:right="-120"/>
              <w:jc w:val="left"/>
              <w:rPr>
                <w:rFonts w:ascii="宋体" w:hAnsi="宋体"/>
                <w:bCs/>
              </w:rPr>
            </w:pPr>
            <w:r>
              <w:rPr>
                <w:rFonts w:hint="eastAsia" w:ascii="宋体" w:hAnsi="宋体"/>
                <w:bCs/>
              </w:rPr>
              <w:t>学习计划；在实际生活中，学会运用具体目标设计的SMART原则</w:t>
            </w:r>
          </w:p>
          <w:p w14:paraId="0E1138CB">
            <w:pPr>
              <w:pStyle w:val="15"/>
              <w:widowControl w:val="0"/>
              <w:ind w:right="-120"/>
              <w:jc w:val="left"/>
              <w:rPr>
                <w:rFonts w:hint="eastAsia" w:ascii="宋体" w:hAnsi="宋体"/>
                <w:b/>
                <w:bCs w:val="0"/>
              </w:rPr>
            </w:pPr>
            <w:r>
              <w:rPr>
                <w:rFonts w:hint="eastAsia" w:ascii="宋体" w:hAnsi="宋体"/>
                <w:b/>
                <w:bCs w:val="0"/>
              </w:rPr>
              <w:t>教学重点：</w:t>
            </w:r>
          </w:p>
          <w:p w14:paraId="00FA8908">
            <w:pPr>
              <w:pStyle w:val="15"/>
              <w:widowControl w:val="0"/>
              <w:ind w:right="-120"/>
              <w:jc w:val="left"/>
              <w:rPr>
                <w:rFonts w:ascii="宋体" w:hAnsi="宋体"/>
                <w:bCs/>
              </w:rPr>
            </w:pPr>
            <w:r>
              <w:rPr>
                <w:rFonts w:hint="eastAsia" w:ascii="宋体" w:hAnsi="宋体"/>
                <w:bCs/>
              </w:rPr>
              <w:t>健康教育与健康促进项目的设计、实施与评价全过程</w:t>
            </w:r>
          </w:p>
          <w:p w14:paraId="2B8597E5">
            <w:pPr>
              <w:pStyle w:val="15"/>
              <w:widowControl w:val="0"/>
              <w:ind w:right="-120"/>
              <w:jc w:val="left"/>
              <w:rPr>
                <w:rFonts w:hint="eastAsia" w:ascii="宋体" w:hAnsi="宋体"/>
                <w:b/>
                <w:bCs w:val="0"/>
              </w:rPr>
            </w:pPr>
            <w:r>
              <w:rPr>
                <w:rFonts w:hint="eastAsia" w:ascii="宋体" w:hAnsi="宋体"/>
                <w:b/>
                <w:bCs w:val="0"/>
              </w:rPr>
              <w:t>教学难点：</w:t>
            </w:r>
          </w:p>
          <w:p w14:paraId="558AEA83">
            <w:pPr>
              <w:pStyle w:val="15"/>
              <w:widowControl w:val="0"/>
              <w:ind w:right="-120"/>
              <w:jc w:val="left"/>
              <w:rPr>
                <w:rFonts w:ascii="宋体" w:hAnsi="宋体"/>
                <w:bCs/>
              </w:rPr>
            </w:pPr>
            <w:r>
              <w:rPr>
                <w:rFonts w:hint="eastAsia" w:ascii="宋体" w:hAnsi="宋体"/>
                <w:bCs/>
              </w:rPr>
              <w:t>格林模式的概念和应用</w:t>
            </w:r>
          </w:p>
          <w:p w14:paraId="654C58D1">
            <w:pPr>
              <w:pStyle w:val="15"/>
              <w:widowControl w:val="0"/>
              <w:ind w:right="-120"/>
              <w:jc w:val="left"/>
              <w:rPr>
                <w:rFonts w:ascii="宋体" w:hAnsi="宋体"/>
                <w:bCs/>
              </w:rPr>
            </w:pPr>
          </w:p>
          <w:p w14:paraId="0A52782C">
            <w:pPr>
              <w:pStyle w:val="15"/>
              <w:widowControl w:val="0"/>
              <w:ind w:right="-120"/>
              <w:jc w:val="left"/>
              <w:rPr>
                <w:rFonts w:ascii="宋体" w:hAnsi="宋体"/>
                <w:bCs/>
              </w:rPr>
            </w:pPr>
            <w:r>
              <w:rPr>
                <w:rFonts w:hint="eastAsia" w:ascii="宋体" w:hAnsi="宋体"/>
                <w:bCs/>
              </w:rPr>
              <w:t xml:space="preserve">第十二章 </w:t>
            </w:r>
            <w:r>
              <w:rPr>
                <w:rFonts w:ascii="宋体" w:hAnsi="宋体"/>
                <w:bCs/>
              </w:rPr>
              <w:t xml:space="preserve"> </w:t>
            </w:r>
            <w:r>
              <w:rPr>
                <w:rFonts w:hint="eastAsia" w:ascii="宋体" w:hAnsi="宋体"/>
                <w:bCs/>
              </w:rPr>
              <w:t>健康传播方法与技术</w:t>
            </w:r>
          </w:p>
          <w:p w14:paraId="34F82238">
            <w:pPr>
              <w:pStyle w:val="15"/>
              <w:widowControl w:val="0"/>
              <w:ind w:right="-120"/>
              <w:jc w:val="left"/>
              <w:rPr>
                <w:rFonts w:ascii="宋体" w:hAnsi="宋体"/>
                <w:b/>
                <w:bCs w:val="0"/>
              </w:rPr>
            </w:pPr>
            <w:r>
              <w:rPr>
                <w:rFonts w:hint="eastAsia" w:ascii="宋体" w:hAnsi="宋体"/>
                <w:b/>
                <w:bCs w:val="0"/>
              </w:rPr>
              <w:t>知识点：</w:t>
            </w:r>
          </w:p>
          <w:p w14:paraId="65D6A7D1">
            <w:pPr>
              <w:pStyle w:val="15"/>
              <w:widowControl w:val="0"/>
              <w:ind w:right="-120"/>
              <w:jc w:val="left"/>
              <w:rPr>
                <w:rFonts w:ascii="宋体" w:hAnsi="宋体"/>
                <w:bCs/>
              </w:rPr>
            </w:pPr>
            <w:r>
              <w:rPr>
                <w:rFonts w:hint="eastAsia" w:ascii="宋体" w:hAnsi="宋体"/>
                <w:bCs/>
              </w:rPr>
              <w:t>12.1 知道传播的概念、要素和过程模式，健康传播、人际传播的概念和特点。</w:t>
            </w:r>
          </w:p>
          <w:p w14:paraId="7F3BB4A4">
            <w:pPr>
              <w:pStyle w:val="15"/>
              <w:widowControl w:val="0"/>
              <w:ind w:right="-120"/>
              <w:jc w:val="left"/>
              <w:rPr>
                <w:rFonts w:ascii="宋体" w:hAnsi="宋体"/>
                <w:bCs/>
              </w:rPr>
            </w:pPr>
            <w:r>
              <w:rPr>
                <w:rFonts w:hint="eastAsia" w:ascii="宋体" w:hAnsi="宋体"/>
                <w:bCs/>
              </w:rPr>
              <w:t>12.2 理解人类传播活动的分类：人际传播、群体传播、组织传播与大众传播的概念。</w:t>
            </w:r>
          </w:p>
          <w:p w14:paraId="558C39B0">
            <w:pPr>
              <w:pStyle w:val="15"/>
              <w:widowControl w:val="0"/>
              <w:ind w:right="-120"/>
              <w:jc w:val="left"/>
              <w:rPr>
                <w:rFonts w:ascii="宋体" w:hAnsi="宋体"/>
                <w:bCs/>
              </w:rPr>
            </w:pPr>
            <w:r>
              <w:rPr>
                <w:rFonts w:hint="eastAsia" w:ascii="宋体" w:hAnsi="宋体"/>
                <w:bCs/>
              </w:rPr>
              <w:t>12.3 知道健康传播材料的制作和使用技巧。</w:t>
            </w:r>
          </w:p>
          <w:p w14:paraId="309846B7">
            <w:pPr>
              <w:pStyle w:val="15"/>
              <w:widowControl w:val="0"/>
              <w:ind w:right="-120"/>
              <w:jc w:val="left"/>
              <w:rPr>
                <w:rFonts w:hint="eastAsia" w:ascii="宋体" w:hAnsi="宋体"/>
                <w:b/>
                <w:bCs w:val="0"/>
              </w:rPr>
            </w:pPr>
            <w:r>
              <w:rPr>
                <w:rFonts w:hint="eastAsia" w:ascii="宋体" w:hAnsi="宋体"/>
                <w:b/>
                <w:bCs w:val="0"/>
              </w:rPr>
              <w:t>能力要求：</w:t>
            </w:r>
          </w:p>
          <w:p w14:paraId="3D1D7D23">
            <w:pPr>
              <w:pStyle w:val="15"/>
              <w:widowControl w:val="0"/>
              <w:ind w:right="-120"/>
              <w:jc w:val="left"/>
              <w:rPr>
                <w:rFonts w:ascii="宋体" w:hAnsi="宋体"/>
                <w:bCs/>
              </w:rPr>
            </w:pPr>
            <w:r>
              <w:rPr>
                <w:rFonts w:hint="eastAsia" w:ascii="宋体" w:hAnsi="宋体"/>
                <w:bCs/>
              </w:rPr>
              <w:t>学会健康传播材料等海报的制作方法和技巧；通过人际传播、群体传播、组织传播和大众传播的概念和特点的学习，学会如何建立良好的人际沟通能力。</w:t>
            </w:r>
          </w:p>
          <w:p w14:paraId="66725DDA">
            <w:pPr>
              <w:pStyle w:val="15"/>
              <w:widowControl w:val="0"/>
              <w:ind w:right="-120"/>
              <w:jc w:val="left"/>
              <w:rPr>
                <w:rFonts w:hint="eastAsia" w:ascii="宋体" w:hAnsi="宋体"/>
                <w:b/>
                <w:bCs w:val="0"/>
              </w:rPr>
            </w:pPr>
            <w:r>
              <w:rPr>
                <w:rFonts w:hint="eastAsia" w:ascii="宋体" w:hAnsi="宋体"/>
                <w:b/>
                <w:bCs w:val="0"/>
              </w:rPr>
              <w:t>教学重点：</w:t>
            </w:r>
          </w:p>
          <w:p w14:paraId="1EAC48D2">
            <w:pPr>
              <w:pStyle w:val="15"/>
              <w:widowControl w:val="0"/>
              <w:ind w:right="-120"/>
              <w:jc w:val="left"/>
              <w:rPr>
                <w:rFonts w:ascii="宋体" w:hAnsi="宋体"/>
                <w:bCs/>
              </w:rPr>
            </w:pPr>
            <w:r>
              <w:rPr>
                <w:rFonts w:hint="eastAsia" w:ascii="宋体" w:hAnsi="宋体"/>
                <w:bCs/>
              </w:rPr>
              <w:t>人际传播的特点和技巧；新媒体与健康传播的关系。</w:t>
            </w:r>
          </w:p>
          <w:p w14:paraId="67D2ABEE">
            <w:pPr>
              <w:pStyle w:val="15"/>
              <w:widowControl w:val="0"/>
              <w:ind w:right="-120"/>
              <w:jc w:val="left"/>
              <w:rPr>
                <w:rFonts w:hint="eastAsia" w:ascii="宋体" w:hAnsi="宋体"/>
                <w:b/>
                <w:bCs w:val="0"/>
              </w:rPr>
            </w:pPr>
            <w:r>
              <w:rPr>
                <w:rFonts w:hint="eastAsia" w:ascii="宋体" w:hAnsi="宋体"/>
                <w:b/>
                <w:bCs w:val="0"/>
              </w:rPr>
              <w:t>教学难点：</w:t>
            </w:r>
          </w:p>
          <w:p w14:paraId="5D004647">
            <w:pPr>
              <w:pStyle w:val="15"/>
              <w:widowControl w:val="0"/>
              <w:ind w:right="-120"/>
              <w:jc w:val="left"/>
              <w:rPr>
                <w:rFonts w:ascii="宋体" w:hAnsi="宋体"/>
                <w:bCs/>
              </w:rPr>
            </w:pPr>
            <w:r>
              <w:rPr>
                <w:rFonts w:hint="eastAsia" w:ascii="宋体" w:hAnsi="宋体"/>
                <w:bCs/>
              </w:rPr>
              <w:t>影响健康传播效果的因素与对策。</w:t>
            </w:r>
          </w:p>
          <w:p w14:paraId="578FC34B">
            <w:pPr>
              <w:pStyle w:val="15"/>
              <w:widowControl w:val="0"/>
              <w:ind w:right="-120"/>
              <w:jc w:val="left"/>
              <w:rPr>
                <w:rFonts w:ascii="宋体" w:hAnsi="宋体"/>
                <w:bCs/>
              </w:rPr>
            </w:pPr>
          </w:p>
          <w:p w14:paraId="42117F04">
            <w:pPr>
              <w:pStyle w:val="15"/>
              <w:widowControl w:val="0"/>
              <w:ind w:right="-120"/>
              <w:jc w:val="left"/>
              <w:rPr>
                <w:rFonts w:ascii="宋体" w:hAnsi="宋体"/>
                <w:bCs/>
              </w:rPr>
            </w:pPr>
            <w:r>
              <w:rPr>
                <w:rFonts w:hint="eastAsia" w:ascii="宋体" w:hAnsi="宋体"/>
                <w:bCs/>
              </w:rPr>
              <w:t xml:space="preserve">第十三章 </w:t>
            </w:r>
            <w:r>
              <w:rPr>
                <w:rFonts w:ascii="宋体" w:hAnsi="宋体"/>
                <w:bCs/>
              </w:rPr>
              <w:t xml:space="preserve"> </w:t>
            </w:r>
            <w:r>
              <w:rPr>
                <w:rFonts w:hint="eastAsia" w:ascii="宋体" w:hAnsi="宋体"/>
                <w:bCs/>
              </w:rPr>
              <w:t>健康教育教学活动的设计与评价</w:t>
            </w:r>
          </w:p>
          <w:p w14:paraId="53A6D231">
            <w:pPr>
              <w:pStyle w:val="15"/>
              <w:widowControl w:val="0"/>
              <w:ind w:right="-120"/>
              <w:jc w:val="left"/>
              <w:rPr>
                <w:rFonts w:ascii="宋体" w:hAnsi="宋体"/>
                <w:b/>
                <w:bCs w:val="0"/>
              </w:rPr>
            </w:pPr>
            <w:r>
              <w:rPr>
                <w:rFonts w:hint="eastAsia" w:ascii="宋体" w:hAnsi="宋体"/>
                <w:b/>
                <w:bCs w:val="0"/>
              </w:rPr>
              <w:t>知识点：</w:t>
            </w:r>
          </w:p>
          <w:p w14:paraId="33DE3815">
            <w:pPr>
              <w:pStyle w:val="15"/>
              <w:widowControl w:val="0"/>
              <w:ind w:right="-120"/>
              <w:jc w:val="left"/>
              <w:rPr>
                <w:rFonts w:ascii="宋体" w:hAnsi="宋体"/>
                <w:bCs/>
              </w:rPr>
            </w:pPr>
            <w:r>
              <w:rPr>
                <w:rFonts w:hint="eastAsia" w:ascii="宋体" w:hAnsi="宋体"/>
                <w:bCs/>
              </w:rPr>
              <w:t>13.1知道健康教育教学活动的概念、类型、特点、影响因素。</w:t>
            </w:r>
          </w:p>
          <w:p w14:paraId="0E84DE1B">
            <w:pPr>
              <w:pStyle w:val="15"/>
              <w:widowControl w:val="0"/>
              <w:ind w:right="-120"/>
              <w:jc w:val="left"/>
              <w:rPr>
                <w:rFonts w:ascii="宋体" w:hAnsi="宋体"/>
                <w:bCs/>
              </w:rPr>
            </w:pPr>
            <w:r>
              <w:rPr>
                <w:rFonts w:hint="eastAsia" w:ascii="宋体" w:hAnsi="宋体"/>
                <w:bCs/>
              </w:rPr>
              <w:t>13.2理解健康教育的教学方法及其分类。</w:t>
            </w:r>
          </w:p>
          <w:p w14:paraId="1B8E09DA">
            <w:pPr>
              <w:pStyle w:val="15"/>
              <w:widowControl w:val="0"/>
              <w:ind w:right="-120"/>
              <w:jc w:val="left"/>
              <w:rPr>
                <w:rFonts w:ascii="宋体" w:hAnsi="宋体"/>
                <w:bCs/>
              </w:rPr>
            </w:pPr>
            <w:r>
              <w:rPr>
                <w:rFonts w:hint="eastAsia" w:ascii="宋体" w:hAnsi="宋体"/>
                <w:bCs/>
              </w:rPr>
              <w:t>13.3了解“互联网+”时代的健康教育方法。</w:t>
            </w:r>
          </w:p>
          <w:p w14:paraId="00AA23F8">
            <w:pPr>
              <w:pStyle w:val="15"/>
              <w:widowControl w:val="0"/>
              <w:ind w:right="-120"/>
              <w:jc w:val="left"/>
              <w:rPr>
                <w:rFonts w:hint="eastAsia" w:ascii="宋体" w:hAnsi="宋体"/>
                <w:b/>
                <w:bCs w:val="0"/>
              </w:rPr>
            </w:pPr>
            <w:r>
              <w:rPr>
                <w:rFonts w:hint="eastAsia" w:ascii="宋体" w:hAnsi="宋体"/>
                <w:b/>
                <w:bCs w:val="0"/>
              </w:rPr>
              <w:t>能力要求：</w:t>
            </w:r>
          </w:p>
          <w:p w14:paraId="246DA402">
            <w:pPr>
              <w:pStyle w:val="15"/>
              <w:widowControl w:val="0"/>
              <w:ind w:right="-120"/>
              <w:jc w:val="left"/>
              <w:rPr>
                <w:rFonts w:hint="eastAsia" w:ascii="宋体" w:hAnsi="宋体"/>
                <w:bCs/>
              </w:rPr>
            </w:pPr>
            <w:r>
              <w:rPr>
                <w:rFonts w:hint="eastAsia" w:ascii="宋体" w:hAnsi="宋体"/>
                <w:bCs/>
              </w:rPr>
              <w:t>针对不同的群体，特别是老年群体，确定不同的健康需求，并采用合适的健康教育策略。</w:t>
            </w:r>
          </w:p>
          <w:p w14:paraId="1912B526">
            <w:pPr>
              <w:pStyle w:val="15"/>
              <w:widowControl w:val="0"/>
              <w:ind w:right="-120"/>
              <w:jc w:val="left"/>
              <w:rPr>
                <w:rFonts w:ascii="宋体" w:hAnsi="宋体"/>
                <w:bCs/>
              </w:rPr>
            </w:pPr>
            <w:r>
              <w:rPr>
                <w:rFonts w:hint="eastAsia" w:ascii="宋体" w:hAnsi="宋体"/>
                <w:bCs/>
              </w:rPr>
              <w:t>通过学习“互联网+”时代的健康教育方法</w:t>
            </w:r>
            <w:r>
              <w:rPr>
                <w:rFonts w:hint="eastAsia" w:ascii="宋体" w:hAnsi="宋体"/>
                <w:bCs/>
                <w:lang w:eastAsia="zh-CN"/>
              </w:rPr>
              <w:t>；</w:t>
            </w:r>
            <w:r>
              <w:rPr>
                <w:rFonts w:hint="eastAsia" w:ascii="宋体" w:hAnsi="宋体"/>
                <w:bCs/>
              </w:rPr>
              <w:t>学会使用现代科技在健康领域的运用。</w:t>
            </w:r>
          </w:p>
          <w:p w14:paraId="65EC6999">
            <w:pPr>
              <w:pStyle w:val="15"/>
              <w:widowControl w:val="0"/>
              <w:ind w:right="-120"/>
              <w:jc w:val="left"/>
              <w:rPr>
                <w:rFonts w:hint="eastAsia" w:ascii="宋体" w:hAnsi="宋体"/>
                <w:b/>
                <w:bCs w:val="0"/>
              </w:rPr>
            </w:pPr>
            <w:r>
              <w:rPr>
                <w:rFonts w:hint="eastAsia" w:ascii="宋体" w:hAnsi="宋体"/>
                <w:b/>
                <w:bCs w:val="0"/>
              </w:rPr>
              <w:t>教学重点：</w:t>
            </w:r>
          </w:p>
          <w:p w14:paraId="4D235CEE">
            <w:pPr>
              <w:pStyle w:val="15"/>
              <w:widowControl w:val="0"/>
              <w:ind w:right="-120"/>
              <w:jc w:val="left"/>
              <w:rPr>
                <w:rFonts w:ascii="宋体" w:hAnsi="宋体"/>
                <w:bCs/>
              </w:rPr>
            </w:pPr>
            <w:r>
              <w:rPr>
                <w:rFonts w:hint="eastAsia" w:ascii="宋体" w:hAnsi="宋体"/>
                <w:bCs/>
              </w:rPr>
              <w:t>健康教育教学方法及其分类；“互联网+”时代的健康教育方法。</w:t>
            </w:r>
          </w:p>
          <w:p w14:paraId="428A85A8">
            <w:pPr>
              <w:pStyle w:val="15"/>
              <w:widowControl w:val="0"/>
              <w:ind w:right="-120"/>
              <w:jc w:val="left"/>
              <w:rPr>
                <w:rFonts w:hint="eastAsia" w:ascii="宋体" w:hAnsi="宋体"/>
                <w:b/>
                <w:bCs w:val="0"/>
              </w:rPr>
            </w:pPr>
            <w:r>
              <w:rPr>
                <w:rFonts w:hint="eastAsia" w:ascii="宋体" w:hAnsi="宋体"/>
                <w:b/>
                <w:bCs w:val="0"/>
              </w:rPr>
              <w:t>教学难点：</w:t>
            </w:r>
          </w:p>
          <w:p w14:paraId="7962D537">
            <w:pPr>
              <w:pStyle w:val="15"/>
              <w:widowControl w:val="0"/>
              <w:ind w:right="-120"/>
              <w:jc w:val="left"/>
              <w:rPr>
                <w:rFonts w:ascii="宋体" w:hAnsi="宋体"/>
                <w:bCs/>
              </w:rPr>
            </w:pPr>
            <w:r>
              <w:rPr>
                <w:rFonts w:hint="eastAsia" w:ascii="宋体" w:hAnsi="宋体"/>
                <w:bCs/>
              </w:rPr>
              <w:t>老年群体的健康教育方法</w:t>
            </w:r>
          </w:p>
          <w:p w14:paraId="22C305FF">
            <w:pPr>
              <w:pStyle w:val="15"/>
              <w:widowControl w:val="0"/>
              <w:ind w:right="-120"/>
              <w:jc w:val="left"/>
              <w:rPr>
                <w:rFonts w:ascii="宋体" w:hAnsi="宋体"/>
                <w:bCs/>
              </w:rPr>
            </w:pPr>
          </w:p>
          <w:p w14:paraId="2F429065">
            <w:pPr>
              <w:pStyle w:val="15"/>
              <w:widowControl w:val="0"/>
              <w:ind w:right="-120"/>
              <w:jc w:val="left"/>
              <w:rPr>
                <w:rFonts w:ascii="宋体" w:hAnsi="宋体"/>
                <w:bCs/>
              </w:rPr>
            </w:pPr>
            <w:r>
              <w:rPr>
                <w:rFonts w:hint="eastAsia" w:ascii="宋体" w:hAnsi="宋体"/>
                <w:bCs/>
              </w:rPr>
              <w:t xml:space="preserve">第十四章 </w:t>
            </w:r>
            <w:r>
              <w:rPr>
                <w:rFonts w:ascii="宋体" w:hAnsi="宋体"/>
                <w:bCs/>
              </w:rPr>
              <w:t xml:space="preserve"> </w:t>
            </w:r>
            <w:r>
              <w:rPr>
                <w:rFonts w:hint="eastAsia" w:ascii="宋体" w:hAnsi="宋体"/>
                <w:bCs/>
              </w:rPr>
              <w:t>健康场所建设</w:t>
            </w:r>
          </w:p>
          <w:p w14:paraId="41BE7875">
            <w:pPr>
              <w:pStyle w:val="15"/>
              <w:widowControl w:val="0"/>
              <w:ind w:right="-120"/>
              <w:jc w:val="left"/>
              <w:rPr>
                <w:rFonts w:ascii="宋体" w:hAnsi="宋体"/>
                <w:b/>
                <w:bCs w:val="0"/>
              </w:rPr>
            </w:pPr>
            <w:r>
              <w:rPr>
                <w:rFonts w:hint="eastAsia" w:ascii="宋体" w:hAnsi="宋体"/>
                <w:b/>
                <w:bCs w:val="0"/>
              </w:rPr>
              <w:t>知识点：</w:t>
            </w:r>
          </w:p>
          <w:p w14:paraId="22932A5D">
            <w:pPr>
              <w:pStyle w:val="15"/>
              <w:widowControl w:val="0"/>
              <w:ind w:right="-120"/>
              <w:jc w:val="left"/>
              <w:rPr>
                <w:rFonts w:ascii="宋体" w:hAnsi="宋体"/>
                <w:bCs/>
              </w:rPr>
            </w:pPr>
            <w:r>
              <w:rPr>
                <w:rFonts w:hint="eastAsia" w:ascii="宋体" w:hAnsi="宋体"/>
                <w:bCs/>
              </w:rPr>
              <w:t>1</w:t>
            </w:r>
            <w:r>
              <w:rPr>
                <w:rFonts w:ascii="宋体" w:hAnsi="宋体"/>
                <w:bCs/>
              </w:rPr>
              <w:t>4</w:t>
            </w:r>
            <w:r>
              <w:rPr>
                <w:rFonts w:hint="eastAsia" w:ascii="宋体" w:hAnsi="宋体"/>
                <w:bCs/>
              </w:rPr>
              <w:t>.1知道健康场所的概念及建设原则。</w:t>
            </w:r>
          </w:p>
          <w:p w14:paraId="1630C0E3">
            <w:pPr>
              <w:pStyle w:val="15"/>
              <w:widowControl w:val="0"/>
              <w:ind w:right="-120"/>
              <w:jc w:val="left"/>
              <w:rPr>
                <w:rFonts w:ascii="宋体" w:hAnsi="宋体"/>
                <w:bCs/>
              </w:rPr>
            </w:pPr>
            <w:r>
              <w:rPr>
                <w:rFonts w:hint="eastAsia" w:ascii="宋体" w:hAnsi="宋体"/>
                <w:bCs/>
              </w:rPr>
              <w:t>1</w:t>
            </w:r>
            <w:r>
              <w:rPr>
                <w:rFonts w:ascii="宋体" w:hAnsi="宋体"/>
                <w:bCs/>
              </w:rPr>
              <w:t>4</w:t>
            </w:r>
            <w:r>
              <w:rPr>
                <w:rFonts w:hint="eastAsia" w:ascii="宋体" w:hAnsi="宋体"/>
                <w:bCs/>
              </w:rPr>
              <w:t>.2了解学校健康促进的概念、意义和特征；学校健康促进的任务、原则和内容。健康社区的内容和健康社区建设的策略。医院健康教育和健康促进的实施。</w:t>
            </w:r>
          </w:p>
          <w:p w14:paraId="30AEF0D9">
            <w:pPr>
              <w:pStyle w:val="15"/>
              <w:widowControl w:val="0"/>
              <w:ind w:right="-120"/>
              <w:jc w:val="left"/>
              <w:rPr>
                <w:rFonts w:hint="eastAsia" w:ascii="宋体" w:hAnsi="宋体"/>
                <w:b/>
                <w:bCs w:val="0"/>
              </w:rPr>
            </w:pPr>
            <w:r>
              <w:rPr>
                <w:rFonts w:hint="eastAsia" w:ascii="宋体" w:hAnsi="宋体"/>
                <w:b/>
                <w:bCs w:val="0"/>
              </w:rPr>
              <w:t>能力要求：</w:t>
            </w:r>
          </w:p>
          <w:p w14:paraId="554016BA">
            <w:pPr>
              <w:pStyle w:val="15"/>
              <w:widowControl w:val="0"/>
              <w:ind w:right="-120"/>
              <w:jc w:val="left"/>
              <w:rPr>
                <w:rFonts w:ascii="宋体" w:hAnsi="宋体"/>
                <w:bCs/>
              </w:rPr>
            </w:pPr>
            <w:r>
              <w:rPr>
                <w:rFonts w:hint="eastAsia" w:ascii="宋体" w:hAnsi="宋体"/>
                <w:bCs/>
              </w:rPr>
              <w:t>学会对学校、工作场所、社区和医院等场所的健康建设策略。</w:t>
            </w:r>
          </w:p>
          <w:p w14:paraId="4C001FB1">
            <w:pPr>
              <w:pStyle w:val="15"/>
              <w:widowControl w:val="0"/>
              <w:ind w:right="-120"/>
              <w:jc w:val="left"/>
              <w:rPr>
                <w:rFonts w:hint="eastAsia" w:ascii="宋体" w:hAnsi="宋体"/>
                <w:b/>
                <w:bCs w:val="0"/>
              </w:rPr>
            </w:pPr>
            <w:r>
              <w:rPr>
                <w:rFonts w:hint="eastAsia" w:ascii="宋体" w:hAnsi="宋体"/>
                <w:b/>
                <w:bCs w:val="0"/>
              </w:rPr>
              <w:t>教学重点：</w:t>
            </w:r>
          </w:p>
          <w:p w14:paraId="2F478AD0">
            <w:pPr>
              <w:pStyle w:val="15"/>
              <w:widowControl w:val="0"/>
              <w:ind w:right="-120"/>
              <w:jc w:val="left"/>
              <w:rPr>
                <w:rFonts w:ascii="宋体" w:hAnsi="宋体"/>
                <w:bCs/>
              </w:rPr>
            </w:pPr>
            <w:r>
              <w:rPr>
                <w:rFonts w:hint="eastAsia" w:ascii="宋体" w:hAnsi="宋体"/>
                <w:bCs/>
              </w:rPr>
              <w:t>学校健康促进、社区健康的建设</w:t>
            </w:r>
          </w:p>
          <w:p w14:paraId="323F8763">
            <w:pPr>
              <w:pStyle w:val="15"/>
              <w:widowControl w:val="0"/>
              <w:ind w:right="-120"/>
              <w:jc w:val="left"/>
              <w:rPr>
                <w:rFonts w:hint="eastAsia" w:ascii="宋体" w:hAnsi="宋体"/>
                <w:b/>
                <w:bCs w:val="0"/>
              </w:rPr>
            </w:pPr>
            <w:r>
              <w:rPr>
                <w:rFonts w:hint="eastAsia" w:ascii="宋体" w:hAnsi="宋体"/>
                <w:b/>
                <w:bCs w:val="0"/>
              </w:rPr>
              <w:t>教学难点：</w:t>
            </w:r>
          </w:p>
          <w:p w14:paraId="389954FB">
            <w:pPr>
              <w:pStyle w:val="15"/>
              <w:widowControl w:val="0"/>
              <w:ind w:right="-120"/>
              <w:jc w:val="left"/>
              <w:rPr>
                <w:rFonts w:ascii="宋体" w:hAnsi="宋体"/>
                <w:bCs/>
              </w:rPr>
            </w:pPr>
            <w:r>
              <w:rPr>
                <w:rFonts w:hint="eastAsia" w:ascii="宋体" w:hAnsi="宋体"/>
                <w:bCs/>
              </w:rPr>
              <w:t>社区中不同群体的健康策略和内容</w:t>
            </w:r>
          </w:p>
          <w:p w14:paraId="49CBBB6E">
            <w:pPr>
              <w:pStyle w:val="15"/>
              <w:widowControl w:val="0"/>
              <w:ind w:right="-120"/>
              <w:jc w:val="left"/>
              <w:rPr>
                <w:rFonts w:ascii="仿宋" w:hAnsi="仿宋" w:eastAsia="仿宋" w:cs="仿宋"/>
              </w:rPr>
            </w:pPr>
          </w:p>
        </w:tc>
      </w:tr>
      <w:bookmarkEnd w:id="0"/>
      <w:bookmarkEnd w:id="1"/>
    </w:tbl>
    <w:p w14:paraId="0BB287CE">
      <w:pPr>
        <w:pStyle w:val="18"/>
        <w:spacing w:before="81" w:after="163"/>
        <w:ind w:right="-120"/>
        <w:rPr>
          <w:rFonts w:hint="eastAsia"/>
        </w:rPr>
      </w:pPr>
    </w:p>
    <w:p w14:paraId="540DB903">
      <w:pPr>
        <w:pStyle w:val="18"/>
        <w:spacing w:before="81" w:after="163"/>
        <w:ind w:right="-120"/>
        <w:rPr>
          <w:rFonts w:hint="eastAsia"/>
        </w:rPr>
      </w:pPr>
    </w:p>
    <w:p w14:paraId="3E16AD80">
      <w:pPr>
        <w:pStyle w:val="18"/>
        <w:spacing w:before="81" w:after="163"/>
        <w:ind w:right="-120"/>
      </w:pPr>
      <w:r>
        <w:rPr>
          <w:rFonts w:hint="eastAsia"/>
        </w:rPr>
        <w:t>（二）教学单元对课程目标的支撑关系</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25"/>
        <w:gridCol w:w="943"/>
        <w:gridCol w:w="1030"/>
        <w:gridCol w:w="1001"/>
        <w:gridCol w:w="941"/>
        <w:gridCol w:w="951"/>
        <w:gridCol w:w="984"/>
      </w:tblGrid>
      <w:tr w14:paraId="6E24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625" w:type="dxa"/>
            <w:tcBorders>
              <w:top w:val="single" w:color="auto" w:sz="12" w:space="0"/>
              <w:left w:val="single" w:color="auto" w:sz="12" w:space="0"/>
              <w:tl2br w:val="single" w:color="auto" w:sz="4" w:space="0"/>
            </w:tcBorders>
          </w:tcPr>
          <w:p w14:paraId="440CF223">
            <w:pPr>
              <w:pStyle w:val="14"/>
              <w:ind w:right="-120" w:firstLine="489"/>
              <w:jc w:val="center"/>
              <w:rPr>
                <w:szCs w:val="16"/>
              </w:rPr>
            </w:pPr>
            <w:r>
              <w:rPr>
                <w:rFonts w:hint="eastAsia"/>
                <w:szCs w:val="16"/>
              </w:rPr>
              <w:t>课程目标</w:t>
            </w:r>
          </w:p>
          <w:p w14:paraId="231EC463">
            <w:pPr>
              <w:pStyle w:val="14"/>
              <w:ind w:right="-120"/>
              <w:jc w:val="left"/>
              <w:rPr>
                <w:szCs w:val="16"/>
              </w:rPr>
            </w:pPr>
          </w:p>
          <w:p w14:paraId="31B92ACE">
            <w:pPr>
              <w:pStyle w:val="14"/>
              <w:ind w:right="-120"/>
              <w:jc w:val="left"/>
              <w:rPr>
                <w:szCs w:val="16"/>
              </w:rPr>
            </w:pPr>
            <w:r>
              <w:rPr>
                <w:rFonts w:hint="eastAsia"/>
                <w:szCs w:val="16"/>
              </w:rPr>
              <w:t>教学单元</w:t>
            </w:r>
          </w:p>
        </w:tc>
        <w:tc>
          <w:tcPr>
            <w:tcW w:w="943" w:type="dxa"/>
            <w:tcBorders>
              <w:top w:val="single" w:color="auto" w:sz="12" w:space="0"/>
            </w:tcBorders>
            <w:vAlign w:val="center"/>
          </w:tcPr>
          <w:p w14:paraId="1E26BFEE">
            <w:pPr>
              <w:pStyle w:val="14"/>
              <w:ind w:right="-120"/>
              <w:rPr>
                <w:szCs w:val="16"/>
              </w:rPr>
            </w:pPr>
            <w:r>
              <w:rPr>
                <w:rFonts w:hint="eastAsia"/>
                <w:szCs w:val="16"/>
              </w:rPr>
              <w:t>1</w:t>
            </w:r>
          </w:p>
        </w:tc>
        <w:tc>
          <w:tcPr>
            <w:tcW w:w="1030" w:type="dxa"/>
            <w:tcBorders>
              <w:top w:val="single" w:color="auto" w:sz="12" w:space="0"/>
            </w:tcBorders>
            <w:vAlign w:val="center"/>
          </w:tcPr>
          <w:p w14:paraId="5E0E4817">
            <w:pPr>
              <w:pStyle w:val="14"/>
              <w:ind w:right="-120"/>
              <w:rPr>
                <w:szCs w:val="16"/>
              </w:rPr>
            </w:pPr>
            <w:r>
              <w:rPr>
                <w:rFonts w:hint="eastAsia"/>
                <w:szCs w:val="16"/>
              </w:rPr>
              <w:t>2</w:t>
            </w:r>
          </w:p>
        </w:tc>
        <w:tc>
          <w:tcPr>
            <w:tcW w:w="1001" w:type="dxa"/>
            <w:tcBorders>
              <w:top w:val="single" w:color="auto" w:sz="12" w:space="0"/>
            </w:tcBorders>
            <w:vAlign w:val="center"/>
          </w:tcPr>
          <w:p w14:paraId="7E2A037B">
            <w:pPr>
              <w:pStyle w:val="14"/>
              <w:ind w:right="-120"/>
              <w:rPr>
                <w:szCs w:val="16"/>
              </w:rPr>
            </w:pPr>
            <w:r>
              <w:rPr>
                <w:rFonts w:hint="eastAsia"/>
                <w:szCs w:val="16"/>
              </w:rPr>
              <w:t>3</w:t>
            </w:r>
          </w:p>
        </w:tc>
        <w:tc>
          <w:tcPr>
            <w:tcW w:w="941" w:type="dxa"/>
            <w:tcBorders>
              <w:top w:val="single" w:color="auto" w:sz="12" w:space="0"/>
            </w:tcBorders>
            <w:vAlign w:val="center"/>
          </w:tcPr>
          <w:p w14:paraId="526ABB3D">
            <w:pPr>
              <w:pStyle w:val="14"/>
              <w:ind w:right="-120"/>
              <w:rPr>
                <w:szCs w:val="16"/>
              </w:rPr>
            </w:pPr>
            <w:r>
              <w:rPr>
                <w:rFonts w:hint="eastAsia"/>
                <w:szCs w:val="16"/>
              </w:rPr>
              <w:t>4</w:t>
            </w:r>
          </w:p>
        </w:tc>
        <w:tc>
          <w:tcPr>
            <w:tcW w:w="951" w:type="dxa"/>
            <w:tcBorders>
              <w:top w:val="single" w:color="auto" w:sz="12" w:space="0"/>
            </w:tcBorders>
            <w:vAlign w:val="center"/>
          </w:tcPr>
          <w:p w14:paraId="5A42031E">
            <w:pPr>
              <w:pStyle w:val="14"/>
              <w:ind w:right="-120"/>
              <w:rPr>
                <w:szCs w:val="16"/>
              </w:rPr>
            </w:pPr>
            <w:r>
              <w:rPr>
                <w:rFonts w:hint="eastAsia"/>
                <w:szCs w:val="16"/>
              </w:rPr>
              <w:t>5</w:t>
            </w:r>
          </w:p>
        </w:tc>
        <w:tc>
          <w:tcPr>
            <w:tcW w:w="984" w:type="dxa"/>
            <w:tcBorders>
              <w:top w:val="single" w:color="auto" w:sz="12" w:space="0"/>
              <w:right w:val="single" w:color="auto" w:sz="12" w:space="0"/>
            </w:tcBorders>
            <w:vAlign w:val="center"/>
          </w:tcPr>
          <w:p w14:paraId="4C616FA5">
            <w:pPr>
              <w:pStyle w:val="14"/>
              <w:ind w:right="-120"/>
              <w:rPr>
                <w:szCs w:val="16"/>
              </w:rPr>
            </w:pPr>
            <w:r>
              <w:rPr>
                <w:rFonts w:hint="eastAsia"/>
                <w:szCs w:val="16"/>
              </w:rPr>
              <w:t>6</w:t>
            </w:r>
          </w:p>
        </w:tc>
      </w:tr>
      <w:tr w14:paraId="7280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667B6A36">
            <w:pPr>
              <w:widowControl w:val="0"/>
              <w:snapToGrid w:val="0"/>
              <w:spacing w:line="296" w:lineRule="exact"/>
              <w:ind w:right="-137" w:rightChars="-57"/>
              <w:rPr>
                <w:rFonts w:cs="仿宋"/>
                <w:bCs/>
                <w:sz w:val="21"/>
                <w:szCs w:val="21"/>
              </w:rPr>
            </w:pPr>
            <w:r>
              <w:rPr>
                <w:rFonts w:hint="eastAsia" w:cs="仿宋"/>
                <w:bCs/>
                <w:sz w:val="21"/>
                <w:szCs w:val="21"/>
              </w:rPr>
              <w:t>第一章 绪论</w:t>
            </w:r>
          </w:p>
        </w:tc>
        <w:tc>
          <w:tcPr>
            <w:tcW w:w="943" w:type="dxa"/>
            <w:vAlign w:val="center"/>
          </w:tcPr>
          <w:p w14:paraId="76710633">
            <w:pPr>
              <w:pStyle w:val="15"/>
              <w:ind w:right="-120"/>
            </w:pPr>
            <w:r>
              <w:rPr>
                <w:rFonts w:ascii="Arial" w:hAnsi="Arial" w:cs="Arial"/>
              </w:rPr>
              <w:t>√</w:t>
            </w:r>
          </w:p>
        </w:tc>
        <w:tc>
          <w:tcPr>
            <w:tcW w:w="1030" w:type="dxa"/>
            <w:vAlign w:val="center"/>
          </w:tcPr>
          <w:p w14:paraId="0C181207">
            <w:pPr>
              <w:pStyle w:val="15"/>
              <w:ind w:right="-120"/>
            </w:pPr>
          </w:p>
        </w:tc>
        <w:tc>
          <w:tcPr>
            <w:tcW w:w="1001" w:type="dxa"/>
            <w:vAlign w:val="center"/>
          </w:tcPr>
          <w:p w14:paraId="2364A197">
            <w:pPr>
              <w:pStyle w:val="15"/>
              <w:ind w:right="-120"/>
            </w:pPr>
          </w:p>
        </w:tc>
        <w:tc>
          <w:tcPr>
            <w:tcW w:w="941" w:type="dxa"/>
            <w:vAlign w:val="center"/>
          </w:tcPr>
          <w:p w14:paraId="4DB5B85C">
            <w:pPr>
              <w:pStyle w:val="15"/>
              <w:ind w:right="-120"/>
            </w:pPr>
          </w:p>
        </w:tc>
        <w:tc>
          <w:tcPr>
            <w:tcW w:w="951" w:type="dxa"/>
            <w:vAlign w:val="center"/>
          </w:tcPr>
          <w:p w14:paraId="6256F698">
            <w:pPr>
              <w:pStyle w:val="15"/>
              <w:ind w:right="-120"/>
            </w:pPr>
            <w:r>
              <w:rPr>
                <w:rFonts w:ascii="Arial" w:hAnsi="Arial" w:cs="Arial"/>
              </w:rPr>
              <w:t>√</w:t>
            </w:r>
          </w:p>
        </w:tc>
        <w:tc>
          <w:tcPr>
            <w:tcW w:w="984" w:type="dxa"/>
            <w:tcBorders>
              <w:right w:val="single" w:color="auto" w:sz="12" w:space="0"/>
            </w:tcBorders>
            <w:vAlign w:val="center"/>
          </w:tcPr>
          <w:p w14:paraId="4F32A4D7">
            <w:pPr>
              <w:pStyle w:val="15"/>
              <w:ind w:right="-120"/>
            </w:pPr>
          </w:p>
        </w:tc>
      </w:tr>
      <w:tr w14:paraId="2805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0FF8D1DE">
            <w:pPr>
              <w:widowControl w:val="0"/>
              <w:snapToGrid w:val="0"/>
              <w:spacing w:line="296" w:lineRule="exact"/>
              <w:ind w:right="-137" w:rightChars="-57"/>
              <w:rPr>
                <w:rFonts w:cs="仿宋"/>
                <w:bCs/>
                <w:sz w:val="21"/>
                <w:szCs w:val="21"/>
              </w:rPr>
            </w:pPr>
            <w:r>
              <w:rPr>
                <w:rFonts w:hint="eastAsia" w:cs="仿宋"/>
                <w:bCs/>
                <w:sz w:val="21"/>
                <w:szCs w:val="21"/>
              </w:rPr>
              <w:t>第二章 健康行为</w:t>
            </w:r>
          </w:p>
        </w:tc>
        <w:tc>
          <w:tcPr>
            <w:tcW w:w="943" w:type="dxa"/>
            <w:vAlign w:val="center"/>
          </w:tcPr>
          <w:p w14:paraId="2CE35AB0">
            <w:pPr>
              <w:pStyle w:val="15"/>
              <w:ind w:right="-120"/>
            </w:pPr>
          </w:p>
        </w:tc>
        <w:tc>
          <w:tcPr>
            <w:tcW w:w="1030" w:type="dxa"/>
            <w:vAlign w:val="center"/>
          </w:tcPr>
          <w:p w14:paraId="23A3D128">
            <w:pPr>
              <w:pStyle w:val="15"/>
              <w:ind w:right="-120"/>
            </w:pPr>
          </w:p>
        </w:tc>
        <w:tc>
          <w:tcPr>
            <w:tcW w:w="1001" w:type="dxa"/>
            <w:vAlign w:val="center"/>
          </w:tcPr>
          <w:p w14:paraId="75B6C93A">
            <w:pPr>
              <w:pStyle w:val="15"/>
              <w:ind w:right="-120"/>
            </w:pPr>
          </w:p>
        </w:tc>
        <w:tc>
          <w:tcPr>
            <w:tcW w:w="941" w:type="dxa"/>
            <w:vAlign w:val="center"/>
          </w:tcPr>
          <w:p w14:paraId="2F3B526E">
            <w:pPr>
              <w:pStyle w:val="15"/>
              <w:ind w:right="-120"/>
            </w:pPr>
          </w:p>
        </w:tc>
        <w:tc>
          <w:tcPr>
            <w:tcW w:w="951" w:type="dxa"/>
            <w:vAlign w:val="center"/>
          </w:tcPr>
          <w:p w14:paraId="49D61B46">
            <w:pPr>
              <w:pStyle w:val="15"/>
              <w:ind w:right="-120"/>
            </w:pPr>
          </w:p>
        </w:tc>
        <w:tc>
          <w:tcPr>
            <w:tcW w:w="984" w:type="dxa"/>
            <w:tcBorders>
              <w:right w:val="single" w:color="auto" w:sz="12" w:space="0"/>
            </w:tcBorders>
            <w:vAlign w:val="center"/>
          </w:tcPr>
          <w:p w14:paraId="01D15595">
            <w:pPr>
              <w:pStyle w:val="15"/>
              <w:ind w:right="-120"/>
            </w:pPr>
            <w:r>
              <w:rPr>
                <w:rFonts w:ascii="Arial" w:hAnsi="Arial" w:cs="Arial"/>
              </w:rPr>
              <w:t>√</w:t>
            </w:r>
          </w:p>
        </w:tc>
      </w:tr>
      <w:tr w14:paraId="0997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24326AEA">
            <w:pPr>
              <w:widowControl w:val="0"/>
              <w:snapToGrid w:val="0"/>
              <w:spacing w:line="296" w:lineRule="exact"/>
              <w:ind w:right="-137" w:rightChars="-57"/>
              <w:rPr>
                <w:rFonts w:cs="仿宋"/>
                <w:bCs/>
                <w:sz w:val="21"/>
                <w:szCs w:val="21"/>
              </w:rPr>
            </w:pPr>
            <w:r>
              <w:rPr>
                <w:rFonts w:hint="eastAsia" w:cs="仿宋"/>
                <w:bCs/>
                <w:sz w:val="21"/>
                <w:szCs w:val="21"/>
              </w:rPr>
              <w:t>第三章 理性行动与计划行为理论</w:t>
            </w:r>
          </w:p>
        </w:tc>
        <w:tc>
          <w:tcPr>
            <w:tcW w:w="943" w:type="dxa"/>
            <w:vAlign w:val="center"/>
          </w:tcPr>
          <w:p w14:paraId="1F64D1A1">
            <w:pPr>
              <w:pStyle w:val="15"/>
              <w:ind w:right="-120"/>
            </w:pPr>
          </w:p>
        </w:tc>
        <w:tc>
          <w:tcPr>
            <w:tcW w:w="1030" w:type="dxa"/>
            <w:vAlign w:val="center"/>
          </w:tcPr>
          <w:p w14:paraId="606576C1">
            <w:pPr>
              <w:pStyle w:val="15"/>
              <w:ind w:right="-120"/>
            </w:pPr>
            <w:r>
              <w:rPr>
                <w:rFonts w:ascii="Arial" w:hAnsi="Arial" w:cs="Arial"/>
              </w:rPr>
              <w:t>√</w:t>
            </w:r>
          </w:p>
        </w:tc>
        <w:tc>
          <w:tcPr>
            <w:tcW w:w="1001" w:type="dxa"/>
            <w:vAlign w:val="center"/>
          </w:tcPr>
          <w:p w14:paraId="1A8305B0">
            <w:pPr>
              <w:pStyle w:val="15"/>
              <w:ind w:right="-120"/>
            </w:pPr>
            <w:r>
              <w:rPr>
                <w:rFonts w:ascii="Arial" w:hAnsi="Arial" w:cs="Arial"/>
              </w:rPr>
              <w:t>√</w:t>
            </w:r>
          </w:p>
        </w:tc>
        <w:tc>
          <w:tcPr>
            <w:tcW w:w="941" w:type="dxa"/>
            <w:vAlign w:val="center"/>
          </w:tcPr>
          <w:p w14:paraId="000AE4D0">
            <w:pPr>
              <w:pStyle w:val="15"/>
              <w:ind w:right="-120"/>
            </w:pPr>
            <w:r>
              <w:rPr>
                <w:rFonts w:ascii="Arial" w:hAnsi="Arial" w:cs="Arial"/>
              </w:rPr>
              <w:t>√</w:t>
            </w:r>
          </w:p>
        </w:tc>
        <w:tc>
          <w:tcPr>
            <w:tcW w:w="951" w:type="dxa"/>
            <w:vAlign w:val="center"/>
          </w:tcPr>
          <w:p w14:paraId="55686850">
            <w:pPr>
              <w:pStyle w:val="15"/>
              <w:ind w:right="-120"/>
            </w:pPr>
          </w:p>
        </w:tc>
        <w:tc>
          <w:tcPr>
            <w:tcW w:w="984" w:type="dxa"/>
            <w:tcBorders>
              <w:right w:val="single" w:color="auto" w:sz="12" w:space="0"/>
            </w:tcBorders>
            <w:vAlign w:val="center"/>
          </w:tcPr>
          <w:p w14:paraId="540EAE00">
            <w:pPr>
              <w:pStyle w:val="15"/>
              <w:ind w:right="-120"/>
            </w:pPr>
          </w:p>
        </w:tc>
      </w:tr>
      <w:tr w14:paraId="5575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25" w:type="dxa"/>
            <w:tcBorders>
              <w:left w:val="single" w:color="auto" w:sz="12" w:space="0"/>
            </w:tcBorders>
          </w:tcPr>
          <w:p w14:paraId="087D0B93">
            <w:pPr>
              <w:widowControl w:val="0"/>
              <w:snapToGrid w:val="0"/>
              <w:spacing w:line="296" w:lineRule="exact"/>
              <w:ind w:right="-137" w:rightChars="-57"/>
              <w:rPr>
                <w:rFonts w:cs="仿宋"/>
                <w:bCs/>
                <w:sz w:val="21"/>
                <w:szCs w:val="21"/>
              </w:rPr>
            </w:pPr>
            <w:r>
              <w:rPr>
                <w:rFonts w:hint="eastAsia" w:cs="仿宋"/>
                <w:bCs/>
                <w:sz w:val="21"/>
                <w:szCs w:val="21"/>
              </w:rPr>
              <w:t>第四章 健康信念模式</w:t>
            </w:r>
          </w:p>
        </w:tc>
        <w:tc>
          <w:tcPr>
            <w:tcW w:w="943" w:type="dxa"/>
            <w:vAlign w:val="center"/>
          </w:tcPr>
          <w:p w14:paraId="68BEBDC9">
            <w:pPr>
              <w:pStyle w:val="15"/>
              <w:ind w:right="-120"/>
            </w:pPr>
          </w:p>
        </w:tc>
        <w:tc>
          <w:tcPr>
            <w:tcW w:w="1030" w:type="dxa"/>
            <w:vAlign w:val="center"/>
          </w:tcPr>
          <w:p w14:paraId="62A8E117">
            <w:pPr>
              <w:pStyle w:val="15"/>
              <w:ind w:right="-120"/>
            </w:pPr>
            <w:r>
              <w:rPr>
                <w:rFonts w:ascii="Arial" w:hAnsi="Arial" w:cs="Arial"/>
              </w:rPr>
              <w:t>√</w:t>
            </w:r>
          </w:p>
        </w:tc>
        <w:tc>
          <w:tcPr>
            <w:tcW w:w="1001" w:type="dxa"/>
            <w:vAlign w:val="center"/>
          </w:tcPr>
          <w:p w14:paraId="5F3C5B9F">
            <w:pPr>
              <w:pStyle w:val="15"/>
              <w:ind w:right="-120"/>
            </w:pPr>
            <w:r>
              <w:rPr>
                <w:rFonts w:ascii="Arial" w:hAnsi="Arial" w:cs="Arial"/>
              </w:rPr>
              <w:t>√</w:t>
            </w:r>
          </w:p>
        </w:tc>
        <w:tc>
          <w:tcPr>
            <w:tcW w:w="941" w:type="dxa"/>
            <w:vAlign w:val="center"/>
          </w:tcPr>
          <w:p w14:paraId="5D593987">
            <w:pPr>
              <w:pStyle w:val="15"/>
              <w:ind w:right="-120"/>
            </w:pPr>
            <w:r>
              <w:rPr>
                <w:rFonts w:ascii="Arial" w:hAnsi="Arial" w:cs="Arial"/>
              </w:rPr>
              <w:t>√</w:t>
            </w:r>
          </w:p>
        </w:tc>
        <w:tc>
          <w:tcPr>
            <w:tcW w:w="951" w:type="dxa"/>
            <w:vAlign w:val="center"/>
          </w:tcPr>
          <w:p w14:paraId="047E8C8A">
            <w:pPr>
              <w:pStyle w:val="15"/>
              <w:ind w:right="-120"/>
            </w:pPr>
          </w:p>
        </w:tc>
        <w:tc>
          <w:tcPr>
            <w:tcW w:w="984" w:type="dxa"/>
            <w:tcBorders>
              <w:right w:val="single" w:color="auto" w:sz="12" w:space="0"/>
            </w:tcBorders>
            <w:vAlign w:val="center"/>
          </w:tcPr>
          <w:p w14:paraId="5D25B57F">
            <w:pPr>
              <w:pStyle w:val="15"/>
              <w:ind w:right="-120"/>
            </w:pPr>
          </w:p>
        </w:tc>
      </w:tr>
      <w:tr w14:paraId="5841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2D636534">
            <w:pPr>
              <w:widowControl w:val="0"/>
              <w:snapToGrid w:val="0"/>
              <w:spacing w:line="296" w:lineRule="exact"/>
              <w:ind w:right="-137" w:rightChars="-57"/>
              <w:rPr>
                <w:rFonts w:cs="仿宋"/>
                <w:bCs/>
                <w:sz w:val="21"/>
                <w:szCs w:val="21"/>
              </w:rPr>
            </w:pPr>
            <w:r>
              <w:rPr>
                <w:rFonts w:hint="eastAsia" w:cs="仿宋"/>
                <w:bCs/>
                <w:sz w:val="21"/>
                <w:szCs w:val="21"/>
              </w:rPr>
              <w:t>第五章 阶段变化理论</w:t>
            </w:r>
          </w:p>
        </w:tc>
        <w:tc>
          <w:tcPr>
            <w:tcW w:w="943" w:type="dxa"/>
            <w:vAlign w:val="center"/>
          </w:tcPr>
          <w:p w14:paraId="3829BC5C">
            <w:pPr>
              <w:pStyle w:val="15"/>
              <w:ind w:right="-120"/>
            </w:pPr>
          </w:p>
        </w:tc>
        <w:tc>
          <w:tcPr>
            <w:tcW w:w="1030" w:type="dxa"/>
            <w:vAlign w:val="center"/>
          </w:tcPr>
          <w:p w14:paraId="4742F023">
            <w:pPr>
              <w:pStyle w:val="15"/>
              <w:ind w:right="-120"/>
            </w:pPr>
            <w:r>
              <w:rPr>
                <w:rFonts w:ascii="Arial" w:hAnsi="Arial" w:cs="Arial"/>
              </w:rPr>
              <w:t>√</w:t>
            </w:r>
          </w:p>
        </w:tc>
        <w:tc>
          <w:tcPr>
            <w:tcW w:w="1001" w:type="dxa"/>
            <w:vAlign w:val="center"/>
          </w:tcPr>
          <w:p w14:paraId="59A49993">
            <w:pPr>
              <w:pStyle w:val="15"/>
              <w:ind w:right="-120"/>
            </w:pPr>
            <w:r>
              <w:rPr>
                <w:rFonts w:ascii="Arial" w:hAnsi="Arial" w:cs="Arial"/>
              </w:rPr>
              <w:t>√</w:t>
            </w:r>
          </w:p>
        </w:tc>
        <w:tc>
          <w:tcPr>
            <w:tcW w:w="941" w:type="dxa"/>
            <w:vAlign w:val="center"/>
          </w:tcPr>
          <w:p w14:paraId="7351476A">
            <w:pPr>
              <w:pStyle w:val="15"/>
              <w:ind w:right="-120"/>
            </w:pPr>
            <w:r>
              <w:rPr>
                <w:rFonts w:ascii="Arial" w:hAnsi="Arial" w:cs="Arial"/>
              </w:rPr>
              <w:t>√</w:t>
            </w:r>
          </w:p>
        </w:tc>
        <w:tc>
          <w:tcPr>
            <w:tcW w:w="951" w:type="dxa"/>
            <w:vAlign w:val="center"/>
          </w:tcPr>
          <w:p w14:paraId="5315AF66">
            <w:pPr>
              <w:pStyle w:val="15"/>
              <w:ind w:right="-120"/>
            </w:pPr>
          </w:p>
        </w:tc>
        <w:tc>
          <w:tcPr>
            <w:tcW w:w="984" w:type="dxa"/>
            <w:tcBorders>
              <w:right w:val="single" w:color="auto" w:sz="12" w:space="0"/>
            </w:tcBorders>
            <w:vAlign w:val="center"/>
          </w:tcPr>
          <w:p w14:paraId="2E1BA4A9">
            <w:pPr>
              <w:pStyle w:val="15"/>
              <w:ind w:right="-120"/>
            </w:pPr>
          </w:p>
        </w:tc>
      </w:tr>
      <w:tr w14:paraId="098B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5CE12F3B">
            <w:pPr>
              <w:widowControl w:val="0"/>
              <w:snapToGrid w:val="0"/>
              <w:spacing w:line="296" w:lineRule="exact"/>
              <w:ind w:right="-137" w:rightChars="-57"/>
              <w:rPr>
                <w:rFonts w:cs="仿宋"/>
                <w:bCs/>
                <w:sz w:val="21"/>
                <w:szCs w:val="21"/>
              </w:rPr>
            </w:pPr>
            <w:r>
              <w:rPr>
                <w:rFonts w:hint="eastAsia" w:cs="仿宋"/>
                <w:bCs/>
                <w:sz w:val="21"/>
                <w:szCs w:val="21"/>
              </w:rPr>
              <w:t>第六章 社会认知理论</w:t>
            </w:r>
          </w:p>
        </w:tc>
        <w:tc>
          <w:tcPr>
            <w:tcW w:w="943" w:type="dxa"/>
            <w:vAlign w:val="center"/>
          </w:tcPr>
          <w:p w14:paraId="2105938E">
            <w:pPr>
              <w:pStyle w:val="15"/>
              <w:ind w:right="-120"/>
            </w:pPr>
          </w:p>
        </w:tc>
        <w:tc>
          <w:tcPr>
            <w:tcW w:w="1030" w:type="dxa"/>
            <w:vAlign w:val="center"/>
          </w:tcPr>
          <w:p w14:paraId="740E7C31">
            <w:pPr>
              <w:pStyle w:val="15"/>
              <w:ind w:right="-120"/>
            </w:pPr>
            <w:r>
              <w:rPr>
                <w:rFonts w:ascii="Arial" w:hAnsi="Arial" w:cs="Arial"/>
              </w:rPr>
              <w:t>√</w:t>
            </w:r>
          </w:p>
        </w:tc>
        <w:tc>
          <w:tcPr>
            <w:tcW w:w="1001" w:type="dxa"/>
            <w:vAlign w:val="center"/>
          </w:tcPr>
          <w:p w14:paraId="44CB106E">
            <w:pPr>
              <w:pStyle w:val="15"/>
              <w:ind w:right="-120"/>
            </w:pPr>
            <w:r>
              <w:rPr>
                <w:rFonts w:ascii="Arial" w:hAnsi="Arial" w:cs="Arial"/>
              </w:rPr>
              <w:t>√</w:t>
            </w:r>
          </w:p>
        </w:tc>
        <w:tc>
          <w:tcPr>
            <w:tcW w:w="941" w:type="dxa"/>
            <w:vAlign w:val="center"/>
          </w:tcPr>
          <w:p w14:paraId="1E90EFFD">
            <w:pPr>
              <w:pStyle w:val="15"/>
              <w:ind w:right="-120"/>
            </w:pPr>
            <w:r>
              <w:rPr>
                <w:rFonts w:ascii="Arial" w:hAnsi="Arial" w:cs="Arial"/>
              </w:rPr>
              <w:t>√</w:t>
            </w:r>
          </w:p>
        </w:tc>
        <w:tc>
          <w:tcPr>
            <w:tcW w:w="951" w:type="dxa"/>
            <w:vAlign w:val="center"/>
          </w:tcPr>
          <w:p w14:paraId="48D6368B">
            <w:pPr>
              <w:pStyle w:val="15"/>
              <w:ind w:right="-120"/>
            </w:pPr>
          </w:p>
        </w:tc>
        <w:tc>
          <w:tcPr>
            <w:tcW w:w="984" w:type="dxa"/>
            <w:tcBorders>
              <w:right w:val="single" w:color="auto" w:sz="12" w:space="0"/>
            </w:tcBorders>
            <w:vAlign w:val="center"/>
          </w:tcPr>
          <w:p w14:paraId="46675B0E">
            <w:pPr>
              <w:pStyle w:val="15"/>
              <w:ind w:right="-120"/>
            </w:pPr>
          </w:p>
        </w:tc>
      </w:tr>
      <w:tr w14:paraId="4A4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7D263EA0">
            <w:pPr>
              <w:widowControl w:val="0"/>
              <w:snapToGrid w:val="0"/>
              <w:spacing w:line="296" w:lineRule="exact"/>
              <w:ind w:right="-137" w:rightChars="-57"/>
              <w:rPr>
                <w:rFonts w:cs="仿宋"/>
                <w:bCs/>
                <w:sz w:val="21"/>
                <w:szCs w:val="21"/>
              </w:rPr>
            </w:pPr>
            <w:r>
              <w:rPr>
                <w:rFonts w:hint="eastAsia" w:cs="仿宋"/>
                <w:bCs/>
                <w:sz w:val="21"/>
                <w:szCs w:val="21"/>
              </w:rPr>
              <w:t>第七章 社会网络与社会支持</w:t>
            </w:r>
          </w:p>
        </w:tc>
        <w:tc>
          <w:tcPr>
            <w:tcW w:w="943" w:type="dxa"/>
            <w:vAlign w:val="center"/>
          </w:tcPr>
          <w:p w14:paraId="77065A91">
            <w:pPr>
              <w:pStyle w:val="15"/>
              <w:ind w:right="-120"/>
            </w:pPr>
          </w:p>
        </w:tc>
        <w:tc>
          <w:tcPr>
            <w:tcW w:w="1030" w:type="dxa"/>
            <w:vAlign w:val="center"/>
          </w:tcPr>
          <w:p w14:paraId="6567C81A">
            <w:pPr>
              <w:pStyle w:val="15"/>
              <w:ind w:right="-120"/>
            </w:pPr>
            <w:r>
              <w:rPr>
                <w:rFonts w:ascii="Arial" w:hAnsi="Arial" w:cs="Arial"/>
              </w:rPr>
              <w:t>√</w:t>
            </w:r>
          </w:p>
        </w:tc>
        <w:tc>
          <w:tcPr>
            <w:tcW w:w="1001" w:type="dxa"/>
            <w:vAlign w:val="center"/>
          </w:tcPr>
          <w:p w14:paraId="5D183E7E">
            <w:pPr>
              <w:pStyle w:val="15"/>
              <w:ind w:right="-120"/>
            </w:pPr>
            <w:r>
              <w:rPr>
                <w:rFonts w:ascii="Arial" w:hAnsi="Arial" w:cs="Arial"/>
              </w:rPr>
              <w:t>√</w:t>
            </w:r>
          </w:p>
        </w:tc>
        <w:tc>
          <w:tcPr>
            <w:tcW w:w="941" w:type="dxa"/>
            <w:vAlign w:val="center"/>
          </w:tcPr>
          <w:p w14:paraId="69076384">
            <w:pPr>
              <w:pStyle w:val="15"/>
              <w:ind w:right="-120"/>
            </w:pPr>
            <w:r>
              <w:rPr>
                <w:rFonts w:ascii="Arial" w:hAnsi="Arial" w:cs="Arial"/>
              </w:rPr>
              <w:t>√</w:t>
            </w:r>
          </w:p>
        </w:tc>
        <w:tc>
          <w:tcPr>
            <w:tcW w:w="951" w:type="dxa"/>
            <w:vAlign w:val="center"/>
          </w:tcPr>
          <w:p w14:paraId="4583D85E">
            <w:pPr>
              <w:pStyle w:val="15"/>
              <w:ind w:right="-120"/>
            </w:pPr>
          </w:p>
        </w:tc>
        <w:tc>
          <w:tcPr>
            <w:tcW w:w="984" w:type="dxa"/>
            <w:tcBorders>
              <w:right w:val="single" w:color="auto" w:sz="12" w:space="0"/>
            </w:tcBorders>
            <w:vAlign w:val="center"/>
          </w:tcPr>
          <w:p w14:paraId="1BEA2E67">
            <w:pPr>
              <w:pStyle w:val="15"/>
              <w:ind w:right="-120"/>
            </w:pPr>
          </w:p>
        </w:tc>
      </w:tr>
      <w:tr w14:paraId="3AB1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51D9CAD3">
            <w:pPr>
              <w:widowControl w:val="0"/>
              <w:snapToGrid w:val="0"/>
              <w:spacing w:line="296" w:lineRule="exact"/>
              <w:ind w:right="-137" w:rightChars="-57"/>
              <w:rPr>
                <w:rFonts w:cs="仿宋"/>
                <w:bCs/>
                <w:sz w:val="21"/>
                <w:szCs w:val="21"/>
              </w:rPr>
            </w:pPr>
            <w:r>
              <w:rPr>
                <w:rFonts w:hint="eastAsia" w:cs="仿宋"/>
                <w:bCs/>
                <w:sz w:val="21"/>
                <w:szCs w:val="21"/>
              </w:rPr>
              <w:t>第八章社区与组织机构改变理论</w:t>
            </w:r>
          </w:p>
        </w:tc>
        <w:tc>
          <w:tcPr>
            <w:tcW w:w="943" w:type="dxa"/>
            <w:vAlign w:val="center"/>
          </w:tcPr>
          <w:p w14:paraId="564FE47C">
            <w:pPr>
              <w:pStyle w:val="15"/>
              <w:ind w:right="-120"/>
            </w:pPr>
          </w:p>
        </w:tc>
        <w:tc>
          <w:tcPr>
            <w:tcW w:w="1030" w:type="dxa"/>
            <w:vAlign w:val="center"/>
          </w:tcPr>
          <w:p w14:paraId="728574A3">
            <w:pPr>
              <w:pStyle w:val="15"/>
              <w:ind w:right="-120"/>
            </w:pPr>
            <w:r>
              <w:rPr>
                <w:rFonts w:ascii="Arial" w:hAnsi="Arial" w:cs="Arial"/>
              </w:rPr>
              <w:t>√</w:t>
            </w:r>
          </w:p>
        </w:tc>
        <w:tc>
          <w:tcPr>
            <w:tcW w:w="1001" w:type="dxa"/>
            <w:vAlign w:val="center"/>
          </w:tcPr>
          <w:p w14:paraId="6FF82D6A">
            <w:pPr>
              <w:pStyle w:val="15"/>
              <w:ind w:right="-120"/>
            </w:pPr>
            <w:r>
              <w:rPr>
                <w:rFonts w:ascii="Arial" w:hAnsi="Arial" w:cs="Arial"/>
              </w:rPr>
              <w:t>√</w:t>
            </w:r>
          </w:p>
        </w:tc>
        <w:tc>
          <w:tcPr>
            <w:tcW w:w="941" w:type="dxa"/>
            <w:vAlign w:val="center"/>
          </w:tcPr>
          <w:p w14:paraId="6262CAEA">
            <w:pPr>
              <w:pStyle w:val="15"/>
              <w:ind w:right="-120"/>
            </w:pPr>
            <w:r>
              <w:rPr>
                <w:rFonts w:ascii="Arial" w:hAnsi="Arial" w:cs="Arial"/>
              </w:rPr>
              <w:t>√</w:t>
            </w:r>
          </w:p>
        </w:tc>
        <w:tc>
          <w:tcPr>
            <w:tcW w:w="951" w:type="dxa"/>
            <w:vAlign w:val="center"/>
          </w:tcPr>
          <w:p w14:paraId="1CBB1FFD">
            <w:pPr>
              <w:pStyle w:val="15"/>
              <w:ind w:right="-120"/>
            </w:pPr>
          </w:p>
        </w:tc>
        <w:tc>
          <w:tcPr>
            <w:tcW w:w="984" w:type="dxa"/>
            <w:tcBorders>
              <w:right w:val="single" w:color="auto" w:sz="12" w:space="0"/>
            </w:tcBorders>
            <w:vAlign w:val="center"/>
          </w:tcPr>
          <w:p w14:paraId="1F60ABA1">
            <w:pPr>
              <w:pStyle w:val="15"/>
              <w:ind w:right="-120"/>
            </w:pPr>
          </w:p>
        </w:tc>
      </w:tr>
      <w:tr w14:paraId="7418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51936634">
            <w:pPr>
              <w:widowControl w:val="0"/>
              <w:snapToGrid w:val="0"/>
              <w:spacing w:line="296" w:lineRule="exact"/>
              <w:ind w:right="-137" w:rightChars="-57"/>
              <w:rPr>
                <w:rFonts w:cs="仿宋"/>
                <w:bCs/>
                <w:sz w:val="21"/>
                <w:szCs w:val="21"/>
              </w:rPr>
            </w:pPr>
            <w:r>
              <w:rPr>
                <w:rFonts w:hint="eastAsia" w:cs="仿宋"/>
                <w:bCs/>
                <w:sz w:val="21"/>
                <w:szCs w:val="21"/>
              </w:rPr>
              <w:t>第九章创新扩散理论</w:t>
            </w:r>
          </w:p>
        </w:tc>
        <w:tc>
          <w:tcPr>
            <w:tcW w:w="943" w:type="dxa"/>
            <w:vAlign w:val="center"/>
          </w:tcPr>
          <w:p w14:paraId="72021488">
            <w:pPr>
              <w:pStyle w:val="15"/>
              <w:ind w:right="-120"/>
            </w:pPr>
          </w:p>
        </w:tc>
        <w:tc>
          <w:tcPr>
            <w:tcW w:w="1030" w:type="dxa"/>
            <w:vAlign w:val="center"/>
          </w:tcPr>
          <w:p w14:paraId="3DDFB9C2">
            <w:pPr>
              <w:pStyle w:val="15"/>
              <w:ind w:right="-120"/>
            </w:pPr>
            <w:r>
              <w:rPr>
                <w:rFonts w:ascii="Arial" w:hAnsi="Arial" w:cs="Arial"/>
              </w:rPr>
              <w:t>√</w:t>
            </w:r>
          </w:p>
        </w:tc>
        <w:tc>
          <w:tcPr>
            <w:tcW w:w="1001" w:type="dxa"/>
            <w:vAlign w:val="center"/>
          </w:tcPr>
          <w:p w14:paraId="747E83C0">
            <w:pPr>
              <w:pStyle w:val="15"/>
              <w:ind w:right="-120"/>
            </w:pPr>
            <w:r>
              <w:rPr>
                <w:rFonts w:ascii="Arial" w:hAnsi="Arial" w:cs="Arial"/>
              </w:rPr>
              <w:t>√</w:t>
            </w:r>
          </w:p>
        </w:tc>
        <w:tc>
          <w:tcPr>
            <w:tcW w:w="941" w:type="dxa"/>
            <w:vAlign w:val="center"/>
          </w:tcPr>
          <w:p w14:paraId="0A8D2834">
            <w:pPr>
              <w:pStyle w:val="15"/>
              <w:ind w:right="-120"/>
            </w:pPr>
            <w:r>
              <w:rPr>
                <w:rFonts w:ascii="Arial" w:hAnsi="Arial" w:cs="Arial"/>
              </w:rPr>
              <w:t>√</w:t>
            </w:r>
          </w:p>
        </w:tc>
        <w:tc>
          <w:tcPr>
            <w:tcW w:w="951" w:type="dxa"/>
            <w:vAlign w:val="center"/>
          </w:tcPr>
          <w:p w14:paraId="6EA9D9B3">
            <w:pPr>
              <w:pStyle w:val="15"/>
              <w:ind w:right="-120"/>
            </w:pPr>
          </w:p>
        </w:tc>
        <w:tc>
          <w:tcPr>
            <w:tcW w:w="984" w:type="dxa"/>
            <w:tcBorders>
              <w:right w:val="single" w:color="auto" w:sz="12" w:space="0"/>
            </w:tcBorders>
            <w:vAlign w:val="center"/>
          </w:tcPr>
          <w:p w14:paraId="748FC29E">
            <w:pPr>
              <w:pStyle w:val="15"/>
              <w:ind w:right="-120"/>
            </w:pPr>
          </w:p>
        </w:tc>
      </w:tr>
      <w:tr w14:paraId="4DE5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02B91DDC">
            <w:pPr>
              <w:widowControl w:val="0"/>
              <w:snapToGrid w:val="0"/>
              <w:spacing w:line="296" w:lineRule="exact"/>
              <w:ind w:right="-137" w:rightChars="-57"/>
              <w:rPr>
                <w:rFonts w:cs="仿宋"/>
                <w:bCs/>
                <w:sz w:val="21"/>
                <w:szCs w:val="21"/>
              </w:rPr>
            </w:pPr>
            <w:r>
              <w:rPr>
                <w:rFonts w:hint="eastAsia" w:cs="仿宋"/>
                <w:bCs/>
                <w:sz w:val="21"/>
                <w:szCs w:val="21"/>
              </w:rPr>
              <w:t>第十章 社会营销</w:t>
            </w:r>
          </w:p>
        </w:tc>
        <w:tc>
          <w:tcPr>
            <w:tcW w:w="943" w:type="dxa"/>
            <w:vAlign w:val="center"/>
          </w:tcPr>
          <w:p w14:paraId="3F126C54">
            <w:pPr>
              <w:pStyle w:val="15"/>
              <w:ind w:right="-120"/>
            </w:pPr>
          </w:p>
        </w:tc>
        <w:tc>
          <w:tcPr>
            <w:tcW w:w="1030" w:type="dxa"/>
            <w:vAlign w:val="center"/>
          </w:tcPr>
          <w:p w14:paraId="2FF63A7A">
            <w:pPr>
              <w:pStyle w:val="15"/>
              <w:ind w:right="-120"/>
            </w:pPr>
          </w:p>
        </w:tc>
        <w:tc>
          <w:tcPr>
            <w:tcW w:w="1001" w:type="dxa"/>
            <w:vAlign w:val="center"/>
          </w:tcPr>
          <w:p w14:paraId="599C223F">
            <w:pPr>
              <w:pStyle w:val="15"/>
              <w:ind w:right="-120"/>
            </w:pPr>
          </w:p>
        </w:tc>
        <w:tc>
          <w:tcPr>
            <w:tcW w:w="941" w:type="dxa"/>
            <w:vAlign w:val="center"/>
          </w:tcPr>
          <w:p w14:paraId="20EC4C88">
            <w:pPr>
              <w:pStyle w:val="15"/>
              <w:ind w:right="-120"/>
            </w:pPr>
          </w:p>
        </w:tc>
        <w:tc>
          <w:tcPr>
            <w:tcW w:w="951" w:type="dxa"/>
            <w:vAlign w:val="center"/>
          </w:tcPr>
          <w:p w14:paraId="27A365CD">
            <w:pPr>
              <w:pStyle w:val="15"/>
              <w:ind w:right="-120"/>
            </w:pPr>
            <w:r>
              <w:rPr>
                <w:rFonts w:ascii="Arial" w:hAnsi="Arial" w:cs="Arial"/>
              </w:rPr>
              <w:t>√</w:t>
            </w:r>
          </w:p>
        </w:tc>
        <w:tc>
          <w:tcPr>
            <w:tcW w:w="984" w:type="dxa"/>
            <w:tcBorders>
              <w:right w:val="single" w:color="auto" w:sz="12" w:space="0"/>
            </w:tcBorders>
            <w:vAlign w:val="center"/>
          </w:tcPr>
          <w:p w14:paraId="1676538F">
            <w:pPr>
              <w:pStyle w:val="15"/>
              <w:ind w:right="-120"/>
            </w:pPr>
          </w:p>
        </w:tc>
      </w:tr>
      <w:tr w14:paraId="6785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6AC24924">
            <w:pPr>
              <w:widowControl w:val="0"/>
              <w:snapToGrid w:val="0"/>
              <w:spacing w:line="296" w:lineRule="exact"/>
              <w:ind w:right="-137" w:rightChars="-57"/>
              <w:rPr>
                <w:rFonts w:cs="仿宋"/>
                <w:bCs/>
                <w:sz w:val="21"/>
                <w:szCs w:val="21"/>
              </w:rPr>
            </w:pPr>
            <w:r>
              <w:rPr>
                <w:rFonts w:hint="eastAsia" w:cs="仿宋"/>
                <w:bCs/>
                <w:sz w:val="21"/>
                <w:szCs w:val="21"/>
              </w:rPr>
              <w:t>第十一章 健康教育与健康促进项目的设计、实施与评价</w:t>
            </w:r>
          </w:p>
        </w:tc>
        <w:tc>
          <w:tcPr>
            <w:tcW w:w="943" w:type="dxa"/>
            <w:vAlign w:val="center"/>
          </w:tcPr>
          <w:p w14:paraId="02CC89ED">
            <w:pPr>
              <w:pStyle w:val="15"/>
              <w:ind w:right="-120"/>
            </w:pPr>
          </w:p>
        </w:tc>
        <w:tc>
          <w:tcPr>
            <w:tcW w:w="1030" w:type="dxa"/>
            <w:vAlign w:val="center"/>
          </w:tcPr>
          <w:p w14:paraId="0EBF5151">
            <w:pPr>
              <w:pStyle w:val="15"/>
              <w:ind w:right="-120"/>
            </w:pPr>
          </w:p>
        </w:tc>
        <w:tc>
          <w:tcPr>
            <w:tcW w:w="1001" w:type="dxa"/>
            <w:vAlign w:val="center"/>
          </w:tcPr>
          <w:p w14:paraId="47458D53">
            <w:pPr>
              <w:pStyle w:val="15"/>
              <w:ind w:right="-120"/>
            </w:pPr>
            <w:r>
              <w:rPr>
                <w:rFonts w:ascii="Arial" w:hAnsi="Arial" w:cs="Arial"/>
              </w:rPr>
              <w:t>√</w:t>
            </w:r>
          </w:p>
        </w:tc>
        <w:tc>
          <w:tcPr>
            <w:tcW w:w="941" w:type="dxa"/>
            <w:vAlign w:val="center"/>
          </w:tcPr>
          <w:p w14:paraId="50C56093">
            <w:pPr>
              <w:pStyle w:val="15"/>
              <w:ind w:right="-120"/>
            </w:pPr>
            <w:r>
              <w:rPr>
                <w:rFonts w:ascii="Arial" w:hAnsi="Arial" w:cs="Arial"/>
              </w:rPr>
              <w:t>√</w:t>
            </w:r>
          </w:p>
        </w:tc>
        <w:tc>
          <w:tcPr>
            <w:tcW w:w="951" w:type="dxa"/>
            <w:vAlign w:val="center"/>
          </w:tcPr>
          <w:p w14:paraId="5AF1A094">
            <w:pPr>
              <w:pStyle w:val="15"/>
              <w:ind w:right="-120"/>
            </w:pPr>
          </w:p>
        </w:tc>
        <w:tc>
          <w:tcPr>
            <w:tcW w:w="984" w:type="dxa"/>
            <w:tcBorders>
              <w:right w:val="single" w:color="auto" w:sz="12" w:space="0"/>
            </w:tcBorders>
            <w:vAlign w:val="center"/>
          </w:tcPr>
          <w:p w14:paraId="3EF72305">
            <w:pPr>
              <w:pStyle w:val="15"/>
              <w:ind w:right="-120"/>
            </w:pPr>
          </w:p>
        </w:tc>
      </w:tr>
      <w:tr w14:paraId="25B4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5C317181">
            <w:pPr>
              <w:widowControl w:val="0"/>
              <w:snapToGrid w:val="0"/>
              <w:spacing w:line="296" w:lineRule="exact"/>
              <w:ind w:right="-137" w:rightChars="-57"/>
              <w:rPr>
                <w:rFonts w:cs="仿宋"/>
                <w:bCs/>
                <w:sz w:val="21"/>
                <w:szCs w:val="21"/>
              </w:rPr>
            </w:pPr>
            <w:r>
              <w:rPr>
                <w:rFonts w:hint="eastAsia" w:cs="仿宋"/>
                <w:bCs/>
                <w:sz w:val="21"/>
                <w:szCs w:val="21"/>
              </w:rPr>
              <w:t>第十二章 健康传播方法与技术</w:t>
            </w:r>
          </w:p>
        </w:tc>
        <w:tc>
          <w:tcPr>
            <w:tcW w:w="943" w:type="dxa"/>
            <w:vAlign w:val="center"/>
          </w:tcPr>
          <w:p w14:paraId="3974D8E2">
            <w:pPr>
              <w:pStyle w:val="15"/>
              <w:ind w:right="-120"/>
            </w:pPr>
          </w:p>
        </w:tc>
        <w:tc>
          <w:tcPr>
            <w:tcW w:w="1030" w:type="dxa"/>
            <w:vAlign w:val="center"/>
          </w:tcPr>
          <w:p w14:paraId="7386C5E1">
            <w:pPr>
              <w:pStyle w:val="15"/>
              <w:ind w:right="-120"/>
            </w:pPr>
          </w:p>
        </w:tc>
        <w:tc>
          <w:tcPr>
            <w:tcW w:w="1001" w:type="dxa"/>
            <w:vAlign w:val="center"/>
          </w:tcPr>
          <w:p w14:paraId="09BCBC94">
            <w:pPr>
              <w:pStyle w:val="15"/>
              <w:ind w:right="-120"/>
            </w:pPr>
            <w:r>
              <w:rPr>
                <w:rFonts w:ascii="Arial" w:hAnsi="Arial" w:cs="Arial"/>
              </w:rPr>
              <w:t>√</w:t>
            </w:r>
          </w:p>
        </w:tc>
        <w:tc>
          <w:tcPr>
            <w:tcW w:w="941" w:type="dxa"/>
            <w:vAlign w:val="center"/>
          </w:tcPr>
          <w:p w14:paraId="5AD036E4">
            <w:pPr>
              <w:pStyle w:val="15"/>
              <w:ind w:right="-120"/>
            </w:pPr>
            <w:r>
              <w:rPr>
                <w:rFonts w:ascii="Arial" w:hAnsi="Arial" w:cs="Arial"/>
              </w:rPr>
              <w:t>√</w:t>
            </w:r>
          </w:p>
        </w:tc>
        <w:tc>
          <w:tcPr>
            <w:tcW w:w="951" w:type="dxa"/>
            <w:vAlign w:val="center"/>
          </w:tcPr>
          <w:p w14:paraId="200F335F">
            <w:pPr>
              <w:pStyle w:val="15"/>
              <w:ind w:right="-120"/>
            </w:pPr>
          </w:p>
        </w:tc>
        <w:tc>
          <w:tcPr>
            <w:tcW w:w="984" w:type="dxa"/>
            <w:tcBorders>
              <w:right w:val="single" w:color="auto" w:sz="12" w:space="0"/>
            </w:tcBorders>
            <w:vAlign w:val="center"/>
          </w:tcPr>
          <w:p w14:paraId="52900F48">
            <w:pPr>
              <w:pStyle w:val="15"/>
              <w:ind w:right="-120"/>
            </w:pPr>
          </w:p>
        </w:tc>
      </w:tr>
      <w:tr w14:paraId="625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3B7550BD">
            <w:pPr>
              <w:widowControl w:val="0"/>
              <w:snapToGrid w:val="0"/>
              <w:spacing w:line="296" w:lineRule="exact"/>
              <w:ind w:right="-137" w:rightChars="-57"/>
              <w:rPr>
                <w:rFonts w:cs="仿宋"/>
                <w:bCs/>
                <w:sz w:val="21"/>
                <w:szCs w:val="21"/>
              </w:rPr>
            </w:pPr>
            <w:r>
              <w:rPr>
                <w:rFonts w:hint="eastAsia" w:cs="仿宋"/>
                <w:bCs/>
                <w:sz w:val="21"/>
                <w:szCs w:val="21"/>
              </w:rPr>
              <w:t>第十三章 健康教育教学活动的设计与评价</w:t>
            </w:r>
          </w:p>
        </w:tc>
        <w:tc>
          <w:tcPr>
            <w:tcW w:w="943" w:type="dxa"/>
            <w:vAlign w:val="center"/>
          </w:tcPr>
          <w:p w14:paraId="126A2212">
            <w:pPr>
              <w:pStyle w:val="15"/>
              <w:ind w:right="-120"/>
            </w:pPr>
          </w:p>
        </w:tc>
        <w:tc>
          <w:tcPr>
            <w:tcW w:w="1030" w:type="dxa"/>
            <w:vAlign w:val="center"/>
          </w:tcPr>
          <w:p w14:paraId="5666B25E">
            <w:pPr>
              <w:pStyle w:val="15"/>
              <w:ind w:right="-120"/>
            </w:pPr>
          </w:p>
        </w:tc>
        <w:tc>
          <w:tcPr>
            <w:tcW w:w="1001" w:type="dxa"/>
            <w:vAlign w:val="center"/>
          </w:tcPr>
          <w:p w14:paraId="0B3F3A28">
            <w:pPr>
              <w:ind w:right="-120"/>
              <w:jc w:val="center"/>
            </w:pPr>
            <w:r>
              <w:rPr>
                <w:rFonts w:ascii="Arial" w:hAnsi="Arial" w:cs="Arial"/>
              </w:rPr>
              <w:t>√</w:t>
            </w:r>
          </w:p>
        </w:tc>
        <w:tc>
          <w:tcPr>
            <w:tcW w:w="941" w:type="dxa"/>
            <w:vAlign w:val="center"/>
          </w:tcPr>
          <w:p w14:paraId="53B277D4">
            <w:pPr>
              <w:pStyle w:val="15"/>
              <w:ind w:right="-120"/>
            </w:pPr>
            <w:r>
              <w:rPr>
                <w:rFonts w:ascii="Arial" w:hAnsi="Arial" w:cs="Arial"/>
              </w:rPr>
              <w:t>√</w:t>
            </w:r>
          </w:p>
        </w:tc>
        <w:tc>
          <w:tcPr>
            <w:tcW w:w="951" w:type="dxa"/>
            <w:vAlign w:val="center"/>
          </w:tcPr>
          <w:p w14:paraId="0A1E8266">
            <w:pPr>
              <w:pStyle w:val="15"/>
              <w:ind w:right="-120"/>
            </w:pPr>
          </w:p>
        </w:tc>
        <w:tc>
          <w:tcPr>
            <w:tcW w:w="984" w:type="dxa"/>
            <w:tcBorders>
              <w:right w:val="single" w:color="auto" w:sz="12" w:space="0"/>
            </w:tcBorders>
            <w:vAlign w:val="center"/>
          </w:tcPr>
          <w:p w14:paraId="1DF6107E">
            <w:pPr>
              <w:pStyle w:val="15"/>
              <w:ind w:right="-120"/>
            </w:pPr>
          </w:p>
        </w:tc>
      </w:tr>
      <w:tr w14:paraId="076B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bottom w:val="single" w:color="auto" w:sz="12" w:space="0"/>
            </w:tcBorders>
          </w:tcPr>
          <w:p w14:paraId="6D1EF891">
            <w:pPr>
              <w:widowControl w:val="0"/>
              <w:snapToGrid w:val="0"/>
              <w:spacing w:line="296" w:lineRule="exact"/>
              <w:ind w:right="-137" w:rightChars="-57"/>
              <w:rPr>
                <w:rFonts w:cs="仿宋"/>
                <w:bCs/>
                <w:sz w:val="21"/>
                <w:szCs w:val="21"/>
              </w:rPr>
            </w:pPr>
            <w:r>
              <w:rPr>
                <w:rFonts w:hint="eastAsia" w:cs="仿宋"/>
                <w:bCs/>
                <w:sz w:val="21"/>
                <w:szCs w:val="21"/>
              </w:rPr>
              <w:t>第十四章 健康场所建设</w:t>
            </w:r>
          </w:p>
        </w:tc>
        <w:tc>
          <w:tcPr>
            <w:tcW w:w="943" w:type="dxa"/>
            <w:tcBorders>
              <w:bottom w:val="single" w:color="auto" w:sz="12" w:space="0"/>
            </w:tcBorders>
            <w:vAlign w:val="center"/>
          </w:tcPr>
          <w:p w14:paraId="556766B1">
            <w:pPr>
              <w:pStyle w:val="15"/>
              <w:ind w:right="-120"/>
            </w:pPr>
          </w:p>
        </w:tc>
        <w:tc>
          <w:tcPr>
            <w:tcW w:w="1030" w:type="dxa"/>
            <w:tcBorders>
              <w:bottom w:val="single" w:color="auto" w:sz="12" w:space="0"/>
            </w:tcBorders>
            <w:vAlign w:val="center"/>
          </w:tcPr>
          <w:p w14:paraId="5BC0C274">
            <w:pPr>
              <w:pStyle w:val="15"/>
              <w:ind w:right="-120"/>
            </w:pPr>
          </w:p>
        </w:tc>
        <w:tc>
          <w:tcPr>
            <w:tcW w:w="1001" w:type="dxa"/>
            <w:tcBorders>
              <w:bottom w:val="single" w:color="auto" w:sz="12" w:space="0"/>
            </w:tcBorders>
            <w:vAlign w:val="center"/>
          </w:tcPr>
          <w:p w14:paraId="19E455B0">
            <w:pPr>
              <w:ind w:right="-120"/>
              <w:jc w:val="center"/>
            </w:pPr>
            <w:r>
              <w:rPr>
                <w:rFonts w:ascii="Arial" w:hAnsi="Arial" w:cs="Arial"/>
              </w:rPr>
              <w:t>√</w:t>
            </w:r>
          </w:p>
        </w:tc>
        <w:tc>
          <w:tcPr>
            <w:tcW w:w="941" w:type="dxa"/>
            <w:tcBorders>
              <w:bottom w:val="single" w:color="auto" w:sz="12" w:space="0"/>
            </w:tcBorders>
            <w:vAlign w:val="center"/>
          </w:tcPr>
          <w:p w14:paraId="7DF8E764">
            <w:pPr>
              <w:pStyle w:val="15"/>
              <w:ind w:right="-120"/>
            </w:pPr>
            <w:r>
              <w:rPr>
                <w:rFonts w:ascii="Arial" w:hAnsi="Arial" w:cs="Arial"/>
              </w:rPr>
              <w:t>√</w:t>
            </w:r>
          </w:p>
        </w:tc>
        <w:tc>
          <w:tcPr>
            <w:tcW w:w="951" w:type="dxa"/>
            <w:tcBorders>
              <w:bottom w:val="single" w:color="auto" w:sz="12" w:space="0"/>
            </w:tcBorders>
            <w:vAlign w:val="center"/>
          </w:tcPr>
          <w:p w14:paraId="77472F0F">
            <w:pPr>
              <w:pStyle w:val="15"/>
              <w:ind w:right="-120"/>
            </w:pPr>
          </w:p>
        </w:tc>
        <w:tc>
          <w:tcPr>
            <w:tcW w:w="984" w:type="dxa"/>
            <w:tcBorders>
              <w:bottom w:val="single" w:color="auto" w:sz="12" w:space="0"/>
              <w:right w:val="single" w:color="auto" w:sz="12" w:space="0"/>
            </w:tcBorders>
            <w:vAlign w:val="center"/>
          </w:tcPr>
          <w:p w14:paraId="42868D34">
            <w:pPr>
              <w:pStyle w:val="15"/>
              <w:ind w:right="-120"/>
            </w:pPr>
          </w:p>
        </w:tc>
      </w:tr>
    </w:tbl>
    <w:p w14:paraId="785507B8">
      <w:pPr>
        <w:pStyle w:val="18"/>
        <w:spacing w:before="326" w:beforeLines="100" w:after="163"/>
        <w:ind w:right="-120"/>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498"/>
        <w:gridCol w:w="2129"/>
        <w:gridCol w:w="1738"/>
        <w:gridCol w:w="725"/>
        <w:gridCol w:w="669"/>
        <w:gridCol w:w="717"/>
      </w:tblGrid>
      <w:tr w14:paraId="244D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498" w:type="dxa"/>
            <w:vMerge w:val="restart"/>
            <w:tcBorders>
              <w:top w:val="single" w:color="auto" w:sz="12" w:space="0"/>
              <w:left w:val="single" w:color="auto" w:sz="12" w:space="0"/>
            </w:tcBorders>
            <w:vAlign w:val="center"/>
          </w:tcPr>
          <w:p w14:paraId="576FDFDC">
            <w:pPr>
              <w:widowControl w:val="0"/>
              <w:snapToGrid w:val="0"/>
              <w:ind w:right="-120"/>
              <w:jc w:val="center"/>
              <w:rPr>
                <w:rFonts w:ascii="黑体" w:hAnsi="黑体" w:eastAsia="黑体"/>
                <w:bCs/>
                <w:sz w:val="21"/>
                <w:szCs w:val="21"/>
              </w:rPr>
            </w:pPr>
            <w:r>
              <w:rPr>
                <w:rFonts w:hint="eastAsia" w:ascii="黑体" w:hAnsi="黑体" w:eastAsia="黑体"/>
                <w:bCs/>
                <w:sz w:val="21"/>
                <w:szCs w:val="21"/>
              </w:rPr>
              <w:t>教学单元</w:t>
            </w:r>
          </w:p>
        </w:tc>
        <w:tc>
          <w:tcPr>
            <w:tcW w:w="2129" w:type="dxa"/>
            <w:vMerge w:val="restart"/>
            <w:tcBorders>
              <w:top w:val="single" w:color="auto" w:sz="12" w:space="0"/>
            </w:tcBorders>
            <w:vAlign w:val="center"/>
          </w:tcPr>
          <w:p w14:paraId="6641633C">
            <w:pPr>
              <w:pStyle w:val="14"/>
              <w:widowControl w:val="0"/>
              <w:ind w:right="-12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1555999">
            <w:pPr>
              <w:pStyle w:val="14"/>
              <w:widowControl w:val="0"/>
              <w:ind w:right="-12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EF9495C">
            <w:pPr>
              <w:pStyle w:val="14"/>
              <w:widowControl w:val="0"/>
              <w:ind w:right="-120"/>
              <w:rPr>
                <w:rFonts w:ascii="黑体" w:hAnsi="黑体"/>
                <w:szCs w:val="21"/>
              </w:rPr>
            </w:pPr>
            <w:r>
              <w:rPr>
                <w:rFonts w:hint="eastAsia" w:ascii="黑体" w:hAnsi="黑体"/>
                <w:szCs w:val="21"/>
              </w:rPr>
              <w:t>学时</w:t>
            </w:r>
            <w:r>
              <w:rPr>
                <w:rFonts w:hint="eastAsia" w:ascii="黑体" w:hAnsi="黑体"/>
                <w:bCs w:val="0"/>
                <w:szCs w:val="21"/>
              </w:rPr>
              <w:t>分配</w:t>
            </w:r>
          </w:p>
        </w:tc>
      </w:tr>
      <w:tr w14:paraId="2021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498" w:type="dxa"/>
            <w:vMerge w:val="continue"/>
            <w:tcBorders>
              <w:left w:val="single" w:color="auto" w:sz="12" w:space="0"/>
            </w:tcBorders>
          </w:tcPr>
          <w:p w14:paraId="421F3D44">
            <w:pPr>
              <w:widowControl w:val="0"/>
              <w:snapToGrid w:val="0"/>
              <w:ind w:right="-120"/>
              <w:jc w:val="center"/>
              <w:rPr>
                <w:rFonts w:ascii="黑体" w:hAnsi="黑体" w:eastAsia="黑体"/>
                <w:bCs/>
                <w:sz w:val="21"/>
                <w:szCs w:val="21"/>
              </w:rPr>
            </w:pPr>
          </w:p>
        </w:tc>
        <w:tc>
          <w:tcPr>
            <w:tcW w:w="2129" w:type="dxa"/>
            <w:vMerge w:val="continue"/>
          </w:tcPr>
          <w:p w14:paraId="7EA461E7">
            <w:pPr>
              <w:widowControl w:val="0"/>
              <w:snapToGrid w:val="0"/>
              <w:ind w:right="-120"/>
              <w:jc w:val="center"/>
              <w:rPr>
                <w:rFonts w:ascii="黑体" w:hAnsi="黑体" w:eastAsia="黑体"/>
                <w:bCs/>
                <w:sz w:val="21"/>
                <w:szCs w:val="21"/>
              </w:rPr>
            </w:pPr>
          </w:p>
        </w:tc>
        <w:tc>
          <w:tcPr>
            <w:tcW w:w="1738" w:type="dxa"/>
            <w:vMerge w:val="continue"/>
          </w:tcPr>
          <w:p w14:paraId="058D2981">
            <w:pPr>
              <w:widowControl w:val="0"/>
              <w:snapToGrid w:val="0"/>
              <w:ind w:right="-120"/>
              <w:jc w:val="center"/>
              <w:rPr>
                <w:rFonts w:ascii="黑体" w:hAnsi="黑体" w:eastAsia="黑体"/>
                <w:bCs/>
                <w:sz w:val="21"/>
                <w:szCs w:val="21"/>
              </w:rPr>
            </w:pPr>
          </w:p>
        </w:tc>
        <w:tc>
          <w:tcPr>
            <w:tcW w:w="725" w:type="dxa"/>
            <w:vAlign w:val="center"/>
          </w:tcPr>
          <w:p w14:paraId="3223C0F5">
            <w:pPr>
              <w:widowControl w:val="0"/>
              <w:snapToGrid w:val="0"/>
              <w:ind w:right="-12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7ED8204">
            <w:pPr>
              <w:widowControl w:val="0"/>
              <w:snapToGrid w:val="0"/>
              <w:ind w:right="-12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51AC4A2">
            <w:pPr>
              <w:widowControl w:val="0"/>
              <w:snapToGrid w:val="0"/>
              <w:ind w:right="-120"/>
              <w:jc w:val="center"/>
              <w:rPr>
                <w:rFonts w:ascii="黑体" w:hAnsi="黑体" w:eastAsia="黑体"/>
                <w:bCs/>
                <w:sz w:val="21"/>
                <w:szCs w:val="21"/>
              </w:rPr>
            </w:pPr>
            <w:r>
              <w:rPr>
                <w:rFonts w:hint="eastAsia" w:ascii="黑体" w:hAnsi="黑体" w:eastAsia="黑体"/>
                <w:bCs/>
                <w:sz w:val="21"/>
                <w:szCs w:val="21"/>
              </w:rPr>
              <w:t>小计</w:t>
            </w:r>
          </w:p>
        </w:tc>
      </w:tr>
      <w:tr w14:paraId="7559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5C9EA4F5">
            <w:pPr>
              <w:widowControl w:val="0"/>
              <w:snapToGrid w:val="0"/>
              <w:ind w:right="-120"/>
              <w:jc w:val="left"/>
              <w:rPr>
                <w:rFonts w:ascii="Times New Roman" w:hAnsi="Times New Roman"/>
                <w:bCs/>
                <w:sz w:val="21"/>
                <w:szCs w:val="21"/>
              </w:rPr>
            </w:pPr>
            <w:r>
              <w:rPr>
                <w:rFonts w:hint="eastAsia" w:ascii="Times New Roman" w:hAnsi="Times New Roman"/>
                <w:color w:val="000000"/>
                <w:sz w:val="21"/>
                <w:szCs w:val="21"/>
              </w:rPr>
              <w:t>第一章 绪论</w:t>
            </w:r>
          </w:p>
        </w:tc>
        <w:tc>
          <w:tcPr>
            <w:tcW w:w="2129" w:type="dxa"/>
            <w:vAlign w:val="center"/>
          </w:tcPr>
          <w:p w14:paraId="5BD084A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68560709">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4AA6D10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14:paraId="29C948E0">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08E0D1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3E707DE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3F56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4C532B8E">
            <w:pPr>
              <w:widowControl w:val="0"/>
              <w:snapToGrid w:val="0"/>
              <w:ind w:right="-120"/>
              <w:jc w:val="left"/>
              <w:rPr>
                <w:rFonts w:ascii="Times New Roman" w:hAnsi="Times New Roman"/>
                <w:bCs/>
                <w:sz w:val="21"/>
                <w:szCs w:val="21"/>
              </w:rPr>
            </w:pPr>
            <w:r>
              <w:rPr>
                <w:rFonts w:hint="eastAsia" w:ascii="Times New Roman" w:hAnsi="Times New Roman"/>
                <w:color w:val="000000"/>
                <w:sz w:val="21"/>
                <w:szCs w:val="21"/>
              </w:rPr>
              <w:t>第二章 健康行为</w:t>
            </w:r>
          </w:p>
        </w:tc>
        <w:tc>
          <w:tcPr>
            <w:tcW w:w="2129" w:type="dxa"/>
            <w:vAlign w:val="center"/>
          </w:tcPr>
          <w:p w14:paraId="71A5C22C">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6AD040D3">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140978C6">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14:paraId="745300A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CC369C5">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1F1C4220">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r>
      <w:tr w14:paraId="3C54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4D46B1CB">
            <w:pPr>
              <w:widowControl w:val="0"/>
              <w:snapToGrid w:val="0"/>
              <w:ind w:right="-120"/>
              <w:jc w:val="left"/>
              <w:rPr>
                <w:rFonts w:cs="仿宋"/>
                <w:bCs/>
                <w:sz w:val="20"/>
                <w:szCs w:val="20"/>
              </w:rPr>
            </w:pPr>
            <w:r>
              <w:rPr>
                <w:rFonts w:hint="eastAsia" w:cs="仿宋"/>
                <w:bCs/>
                <w:sz w:val="20"/>
                <w:szCs w:val="20"/>
              </w:rPr>
              <w:t>第三章 理性行动与计划行为理论</w:t>
            </w:r>
          </w:p>
        </w:tc>
        <w:tc>
          <w:tcPr>
            <w:tcW w:w="2129" w:type="dxa"/>
            <w:vAlign w:val="center"/>
          </w:tcPr>
          <w:p w14:paraId="6054D84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36706911">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604045D3">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5BA0735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663C92F5">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23BFC61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7E379E18">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108611C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6</w:t>
            </w:r>
          </w:p>
        </w:tc>
      </w:tr>
      <w:tr w14:paraId="1C7D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2C1468B5">
            <w:pPr>
              <w:widowControl w:val="0"/>
              <w:snapToGrid w:val="0"/>
              <w:ind w:right="-120"/>
              <w:jc w:val="left"/>
              <w:rPr>
                <w:rFonts w:cs="仿宋"/>
                <w:bCs/>
                <w:sz w:val="20"/>
                <w:szCs w:val="20"/>
              </w:rPr>
            </w:pPr>
            <w:r>
              <w:rPr>
                <w:rFonts w:hint="eastAsia" w:cs="仿宋"/>
                <w:bCs/>
                <w:sz w:val="20"/>
                <w:szCs w:val="20"/>
              </w:rPr>
              <w:t>第四章 健康信念模式</w:t>
            </w:r>
          </w:p>
        </w:tc>
        <w:tc>
          <w:tcPr>
            <w:tcW w:w="2129" w:type="dxa"/>
            <w:vAlign w:val="center"/>
          </w:tcPr>
          <w:p w14:paraId="07ADD5EA">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3C5329A2">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4FCA00ED">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20E33EB0">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51BE848B">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7B695A21">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759ED2C2">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00DF3798">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6</w:t>
            </w:r>
          </w:p>
        </w:tc>
      </w:tr>
      <w:tr w14:paraId="0ACD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620CA50C">
            <w:pPr>
              <w:widowControl w:val="0"/>
              <w:snapToGrid w:val="0"/>
              <w:ind w:right="-120"/>
              <w:jc w:val="left"/>
              <w:rPr>
                <w:rFonts w:cs="仿宋"/>
                <w:bCs/>
                <w:sz w:val="20"/>
                <w:szCs w:val="20"/>
              </w:rPr>
            </w:pPr>
            <w:r>
              <w:rPr>
                <w:rFonts w:hint="eastAsia" w:cs="仿宋"/>
                <w:bCs/>
                <w:sz w:val="20"/>
                <w:szCs w:val="20"/>
              </w:rPr>
              <w:t>第五章 阶段变化理论</w:t>
            </w:r>
          </w:p>
        </w:tc>
        <w:tc>
          <w:tcPr>
            <w:tcW w:w="2129" w:type="dxa"/>
            <w:vAlign w:val="center"/>
          </w:tcPr>
          <w:p w14:paraId="1CF211FA">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5C655EE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75D2E2C3">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657138B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7344B00C">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72035165">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A80DFB7">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305FD69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r>
      <w:tr w14:paraId="0BB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6511599F">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第六章 社会认知理论</w:t>
            </w:r>
          </w:p>
        </w:tc>
        <w:tc>
          <w:tcPr>
            <w:tcW w:w="2129" w:type="dxa"/>
            <w:vAlign w:val="center"/>
          </w:tcPr>
          <w:p w14:paraId="774E043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7FD305A2">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04DA7E6D">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2415B96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62375A9D">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70A28EA6">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A9F3BB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471D5E6C">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26AB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6B08F62B">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第七章 社会网络与社会支持</w:t>
            </w:r>
          </w:p>
        </w:tc>
        <w:tc>
          <w:tcPr>
            <w:tcW w:w="2129" w:type="dxa"/>
            <w:vAlign w:val="center"/>
          </w:tcPr>
          <w:p w14:paraId="1E6CC25A">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358DE84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6F401AE7">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39C51131">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4F6628BF">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3D6839A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E78D83C">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70ED919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4757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2E2985F1">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第八章社区与组织机构改变理论</w:t>
            </w:r>
          </w:p>
        </w:tc>
        <w:tc>
          <w:tcPr>
            <w:tcW w:w="2129" w:type="dxa"/>
            <w:vAlign w:val="center"/>
          </w:tcPr>
          <w:p w14:paraId="28DCB65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1CEA48C5">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2BD3D2FB">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4ED4EFFF">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664B3B79">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4CBB49B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4216A83">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6FBD1EA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r>
      <w:tr w14:paraId="5EDE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0AB9D74C">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第九章创新扩散理论</w:t>
            </w:r>
          </w:p>
        </w:tc>
        <w:tc>
          <w:tcPr>
            <w:tcW w:w="2129" w:type="dxa"/>
            <w:vAlign w:val="center"/>
          </w:tcPr>
          <w:p w14:paraId="6B14D7D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5D7EADF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1D3DD8E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闭卷考试</w:t>
            </w:r>
          </w:p>
          <w:p w14:paraId="76E2272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78A034E5">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14D25A3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5C6C14D">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0D6DB63B">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r>
      <w:tr w14:paraId="1F7B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5276ECB4">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第十章 社会营销</w:t>
            </w:r>
          </w:p>
        </w:tc>
        <w:tc>
          <w:tcPr>
            <w:tcW w:w="2129" w:type="dxa"/>
            <w:vAlign w:val="center"/>
          </w:tcPr>
          <w:p w14:paraId="1FDAF5AF">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589D7C93">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3B740EE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14:paraId="77B8C28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3F7CC2C4">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6D4B6050">
            <w:pPr>
              <w:widowControl w:val="0"/>
              <w:snapToGrid w:val="0"/>
              <w:ind w:right="-120"/>
              <w:jc w:val="center"/>
              <w:rPr>
                <w:rFonts w:ascii="Times New Roman" w:hAnsi="Times New Roman"/>
                <w:bCs/>
                <w:sz w:val="21"/>
                <w:szCs w:val="21"/>
              </w:rPr>
            </w:pPr>
          </w:p>
        </w:tc>
      </w:tr>
      <w:tr w14:paraId="5B95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05AD82ED">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第十一章 健康教育与健康促进项目的设计、实施与评价</w:t>
            </w:r>
          </w:p>
        </w:tc>
        <w:tc>
          <w:tcPr>
            <w:tcW w:w="2129" w:type="dxa"/>
            <w:vAlign w:val="center"/>
          </w:tcPr>
          <w:p w14:paraId="7F265F4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63616A5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小组讨论法</w:t>
            </w:r>
          </w:p>
          <w:p w14:paraId="79B9929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5ECBD14B">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3DF7B071">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782526B1">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3622777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F7FD1EF">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3AB9C15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44AD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36E73C60">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第十二章 健康传播方法与技术</w:t>
            </w:r>
          </w:p>
        </w:tc>
        <w:tc>
          <w:tcPr>
            <w:tcW w:w="2129" w:type="dxa"/>
            <w:vAlign w:val="center"/>
          </w:tcPr>
          <w:p w14:paraId="0D4BB5E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5E69AB9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4701ABD4">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53D85E46">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378493F5">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36879FE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B727220">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652BAE76">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6B7C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210DC3F6">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第十三章 健康教育教学活动的设计与评价</w:t>
            </w:r>
          </w:p>
        </w:tc>
        <w:tc>
          <w:tcPr>
            <w:tcW w:w="2129" w:type="dxa"/>
            <w:vAlign w:val="center"/>
          </w:tcPr>
          <w:p w14:paraId="14F26ED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41227198">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291120EF">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593EEB52">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26C90AF4">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33D3F72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32A3844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2CE832F6">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3B74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70F4BA9C">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第十四章 健康场所建设</w:t>
            </w:r>
          </w:p>
        </w:tc>
        <w:tc>
          <w:tcPr>
            <w:tcW w:w="2129" w:type="dxa"/>
            <w:vAlign w:val="center"/>
          </w:tcPr>
          <w:p w14:paraId="046AB2C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7C856FF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7FD7B8C6">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3F827FD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14:paraId="34D406E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5FFB60F">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29F3F068">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r>
      <w:tr w14:paraId="4EB7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0B0D3060">
            <w:pPr>
              <w:pStyle w:val="14"/>
              <w:widowControl w:val="0"/>
              <w:ind w:right="-120"/>
            </w:pPr>
            <w:r>
              <w:rPr>
                <w:rFonts w:hint="eastAsia"/>
              </w:rPr>
              <w:t>合计</w:t>
            </w:r>
          </w:p>
        </w:tc>
        <w:tc>
          <w:tcPr>
            <w:tcW w:w="725" w:type="dxa"/>
            <w:tcBorders>
              <w:bottom w:val="single" w:color="auto" w:sz="12" w:space="0"/>
            </w:tcBorders>
            <w:vAlign w:val="center"/>
          </w:tcPr>
          <w:p w14:paraId="31C3052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32</w:t>
            </w:r>
          </w:p>
        </w:tc>
        <w:tc>
          <w:tcPr>
            <w:tcW w:w="669" w:type="dxa"/>
            <w:tcBorders>
              <w:bottom w:val="single" w:color="auto" w:sz="12" w:space="0"/>
            </w:tcBorders>
            <w:vAlign w:val="center"/>
          </w:tcPr>
          <w:p w14:paraId="12AE8D0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16</w:t>
            </w:r>
          </w:p>
        </w:tc>
        <w:tc>
          <w:tcPr>
            <w:tcW w:w="717" w:type="dxa"/>
            <w:tcBorders>
              <w:bottom w:val="single" w:color="auto" w:sz="12" w:space="0"/>
              <w:right w:val="single" w:color="auto" w:sz="12" w:space="0"/>
            </w:tcBorders>
            <w:vAlign w:val="center"/>
          </w:tcPr>
          <w:p w14:paraId="60F4953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48</w:t>
            </w:r>
          </w:p>
        </w:tc>
      </w:tr>
    </w:tbl>
    <w:p w14:paraId="12E7C52D">
      <w:pPr>
        <w:pStyle w:val="17"/>
        <w:spacing w:before="326" w:beforeLines="100" w:line="360" w:lineRule="auto"/>
        <w:ind w:right="-120"/>
        <w:rPr>
          <w:rFonts w:hint="eastAsia" w:ascii="黑体" w:hAnsi="宋体"/>
        </w:rPr>
      </w:pPr>
      <w:bookmarkStart w:id="2" w:name="OLE_LINK1"/>
      <w:bookmarkStart w:id="3" w:name="OLE_LINK2"/>
    </w:p>
    <w:p w14:paraId="2C7BB3D9">
      <w:pPr>
        <w:pStyle w:val="17"/>
        <w:spacing w:before="326" w:beforeLines="100" w:line="360" w:lineRule="auto"/>
        <w:ind w:right="-120"/>
        <w:rPr>
          <w:rFonts w:ascii="黑体" w:hAnsi="宋体"/>
        </w:rPr>
      </w:pPr>
      <w:r>
        <w:rPr>
          <w:rFonts w:hint="eastAsia" w:ascii="黑体" w:hAnsi="宋体"/>
        </w:rPr>
        <w:t>四、课程思政教学设计</w:t>
      </w:r>
    </w:p>
    <w:bookmarkEnd w:id="2"/>
    <w:bookmarkEnd w:id="3"/>
    <w:tbl>
      <w:tblPr>
        <w:tblStyle w:val="9"/>
        <w:tblW w:w="5082" w:type="pct"/>
        <w:tblInd w:w="-12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615"/>
      </w:tblGrid>
      <w:tr w14:paraId="312BE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476" w:hRule="atLeast"/>
        </w:trPr>
        <w:tc>
          <w:tcPr>
            <w:tcW w:w="8616" w:type="dxa"/>
            <w:vAlign w:val="center"/>
          </w:tcPr>
          <w:p w14:paraId="2117E161">
            <w:pPr>
              <w:pStyle w:val="15"/>
              <w:widowControl w:val="0"/>
              <w:ind w:right="-120" w:firstLine="420" w:firstLineChars="200"/>
              <w:jc w:val="left"/>
              <w:rPr>
                <w:color w:val="auto"/>
              </w:rPr>
            </w:pPr>
            <w:r>
              <w:rPr>
                <w:rFonts w:hint="eastAsia"/>
                <w:color w:val="auto"/>
              </w:rPr>
              <w:t>《健康教育学》是养老服务管理专业的一门专业必修课，这门课是健康学和教育学</w:t>
            </w:r>
          </w:p>
          <w:p w14:paraId="729A5D21">
            <w:pPr>
              <w:pStyle w:val="15"/>
              <w:widowControl w:val="0"/>
              <w:ind w:right="-120"/>
              <w:jc w:val="left"/>
              <w:rPr>
                <w:color w:val="auto"/>
              </w:rPr>
            </w:pPr>
            <w:r>
              <w:rPr>
                <w:rFonts w:hint="eastAsia"/>
                <w:color w:val="auto"/>
              </w:rPr>
              <w:t>的交叉学科，从课程思政的角度来看，主要在于：“</w:t>
            </w:r>
            <w:r>
              <w:rPr>
                <w:color w:val="auto"/>
              </w:rPr>
              <w:t>提升公民健康素养，助力健康中国战略</w:t>
            </w:r>
            <w:r>
              <w:rPr>
                <w:rFonts w:hint="eastAsia"/>
                <w:color w:val="auto"/>
              </w:rPr>
              <w:t>”，因此教学中，课程思政可以从以下几个方面来设计：</w:t>
            </w:r>
          </w:p>
          <w:p w14:paraId="517A043D">
            <w:pPr>
              <w:pStyle w:val="15"/>
              <w:widowControl w:val="0"/>
              <w:ind w:right="-120" w:firstLine="420" w:firstLineChars="200"/>
              <w:jc w:val="left"/>
              <w:rPr>
                <w:color w:val="auto"/>
              </w:rPr>
            </w:pPr>
            <w:r>
              <w:rPr>
                <w:color w:val="auto"/>
              </w:rPr>
              <w:t>世界卫生组织提出，一个人的健康和寿命，60%取决于自己。</w:t>
            </w:r>
            <w:r>
              <w:rPr>
                <w:rFonts w:hint="eastAsia"/>
                <w:color w:val="auto"/>
              </w:rPr>
              <w:t>同时，</w:t>
            </w:r>
            <w:r>
              <w:rPr>
                <w:color w:val="auto"/>
              </w:rPr>
              <w:t>在《“健康中国2030”规划纲要》的五大核心思想中，健康生活方式被摆在第一位。作为与公民健康素养提升最相</w:t>
            </w:r>
          </w:p>
          <w:p w14:paraId="13870EF3">
            <w:pPr>
              <w:pStyle w:val="15"/>
              <w:widowControl w:val="0"/>
              <w:ind w:right="-120"/>
              <w:jc w:val="left"/>
              <w:rPr>
                <w:color w:val="auto"/>
              </w:rPr>
            </w:pPr>
            <w:r>
              <w:rPr>
                <w:color w:val="auto"/>
              </w:rPr>
              <w:t>关的学科，《健康教育学》是研究如何通过教育手段，对人们进行健康知识培训和促进健康</w:t>
            </w:r>
          </w:p>
          <w:p w14:paraId="5EDD968C">
            <w:pPr>
              <w:pStyle w:val="15"/>
              <w:widowControl w:val="0"/>
              <w:ind w:right="-120"/>
              <w:jc w:val="left"/>
              <w:rPr>
                <w:color w:val="auto"/>
              </w:rPr>
            </w:pPr>
            <w:r>
              <w:rPr>
                <w:color w:val="auto"/>
              </w:rPr>
              <w:t>能力达成的科学，是一门与国家卫生战略密切相关的课程。没有全民健康，就没有全面小康——“健康中国”建设不仅直接关乎民生福祉，更关乎国家全局与长远发展、社会稳定和经济</w:t>
            </w:r>
          </w:p>
          <w:p w14:paraId="56417CA5">
            <w:pPr>
              <w:pStyle w:val="15"/>
              <w:widowControl w:val="0"/>
              <w:ind w:right="-120"/>
              <w:jc w:val="left"/>
              <w:rPr>
                <w:color w:val="auto"/>
              </w:rPr>
            </w:pPr>
            <w:r>
              <w:rPr>
                <w:color w:val="auto"/>
              </w:rPr>
              <w:t>可持续发展，具有重大的战略意义。</w:t>
            </w:r>
            <w:r>
              <w:rPr>
                <w:rFonts w:hint="eastAsia"/>
                <w:color w:val="auto"/>
              </w:rPr>
              <w:t>因此</w:t>
            </w:r>
            <w:r>
              <w:rPr>
                <w:color w:val="auto"/>
              </w:rPr>
              <w:t>《健康教育学》教学</w:t>
            </w:r>
            <w:r>
              <w:rPr>
                <w:rFonts w:hint="eastAsia"/>
                <w:color w:val="auto"/>
              </w:rPr>
              <w:t>将</w:t>
            </w:r>
            <w:r>
              <w:rPr>
                <w:color w:val="auto"/>
              </w:rPr>
              <w:t>着眼于学生及社会长远发展</w:t>
            </w:r>
          </w:p>
          <w:p w14:paraId="78E2031F">
            <w:pPr>
              <w:pStyle w:val="15"/>
              <w:widowControl w:val="0"/>
              <w:ind w:right="-120"/>
              <w:jc w:val="left"/>
              <w:rPr>
                <w:color w:val="auto"/>
              </w:rPr>
            </w:pPr>
            <w:r>
              <w:rPr>
                <w:color w:val="auto"/>
              </w:rPr>
              <w:t>的需要，注重在课堂内外培养学生心系公众健康的家国情怀和担当意识，逐渐形成了具有学</w:t>
            </w:r>
          </w:p>
          <w:p w14:paraId="0E4E9874">
            <w:pPr>
              <w:pStyle w:val="15"/>
              <w:widowControl w:val="0"/>
              <w:ind w:right="-120"/>
              <w:jc w:val="left"/>
              <w:rPr>
                <w:color w:val="auto"/>
              </w:rPr>
            </w:pPr>
            <w:r>
              <w:rPr>
                <w:color w:val="auto"/>
              </w:rPr>
              <w:t>科特色的</w:t>
            </w:r>
            <w:r>
              <w:rPr>
                <w:rFonts w:hint="eastAsia"/>
                <w:color w:val="auto"/>
                <w:lang w:eastAsia="zh-CN"/>
              </w:rPr>
              <w:t>“</w:t>
            </w:r>
            <w:r>
              <w:rPr>
                <w:color w:val="auto"/>
              </w:rPr>
              <w:t>课内讲思政，课外用思政，内外兼修做思政</w:t>
            </w:r>
            <w:r>
              <w:rPr>
                <w:rFonts w:hint="eastAsia"/>
                <w:color w:val="auto"/>
                <w:lang w:eastAsia="zh-CN"/>
              </w:rPr>
              <w:t>”</w:t>
            </w:r>
            <w:r>
              <w:rPr>
                <w:color w:val="auto"/>
              </w:rPr>
              <w:t>的教学模式。</w:t>
            </w:r>
          </w:p>
          <w:p w14:paraId="30EDC6C1">
            <w:pPr>
              <w:pStyle w:val="15"/>
              <w:widowControl w:val="0"/>
              <w:numPr>
                <w:ilvl w:val="0"/>
                <w:numId w:val="6"/>
              </w:numPr>
              <w:ind w:right="-120" w:firstLine="420" w:firstLineChars="200"/>
              <w:jc w:val="left"/>
              <w:rPr>
                <w:rFonts w:hint="eastAsia"/>
                <w:color w:val="auto"/>
              </w:rPr>
            </w:pPr>
            <w:r>
              <w:rPr>
                <w:rFonts w:hint="eastAsia"/>
                <w:color w:val="auto"/>
              </w:rPr>
              <w:t>课内讲思政：课堂上积极引导学生关注健康信息、掌握健康技能、养成健康文明的</w:t>
            </w:r>
          </w:p>
          <w:p w14:paraId="55BD3CDA">
            <w:pPr>
              <w:pStyle w:val="15"/>
              <w:widowControl w:val="0"/>
              <w:numPr>
                <w:ilvl w:val="0"/>
                <w:numId w:val="0"/>
              </w:numPr>
              <w:ind w:right="-120" w:rightChars="0"/>
              <w:jc w:val="left"/>
              <w:rPr>
                <w:rFonts w:hint="eastAsia"/>
                <w:color w:val="auto"/>
              </w:rPr>
            </w:pPr>
            <w:r>
              <w:rPr>
                <w:rFonts w:hint="eastAsia"/>
                <w:color w:val="auto"/>
              </w:rPr>
              <w:t>生活方式的同时，课堂外注重引导学生利用所学帮助身边的人提升健康素养。在以学生为星</w:t>
            </w:r>
          </w:p>
          <w:p w14:paraId="3428B05F">
            <w:pPr>
              <w:pStyle w:val="15"/>
              <w:widowControl w:val="0"/>
              <w:numPr>
                <w:ilvl w:val="0"/>
                <w:numId w:val="0"/>
              </w:numPr>
              <w:ind w:right="-120" w:rightChars="0"/>
              <w:jc w:val="left"/>
              <w:rPr>
                <w:rFonts w:hint="eastAsia"/>
                <w:color w:val="auto"/>
              </w:rPr>
            </w:pPr>
            <w:r>
              <w:rPr>
                <w:rFonts w:hint="eastAsia"/>
                <w:color w:val="auto"/>
              </w:rPr>
              <w:t>星之火，推动健康教育普惠群众，助力</w:t>
            </w:r>
            <w:r>
              <w:rPr>
                <w:rFonts w:hint="eastAsia"/>
                <w:color w:val="auto"/>
                <w:lang w:eastAsia="zh-CN"/>
              </w:rPr>
              <w:t>“</w:t>
            </w:r>
            <w:r>
              <w:rPr>
                <w:rFonts w:hint="eastAsia"/>
                <w:color w:val="auto"/>
              </w:rPr>
              <w:t>健康中国战略</w:t>
            </w:r>
            <w:r>
              <w:rPr>
                <w:rFonts w:hint="eastAsia"/>
                <w:color w:val="auto"/>
                <w:lang w:eastAsia="zh-CN"/>
              </w:rPr>
              <w:t>”</w:t>
            </w:r>
            <w:r>
              <w:rPr>
                <w:rFonts w:hint="eastAsia"/>
                <w:color w:val="auto"/>
              </w:rPr>
              <w:t>的过程中，培养学生的主人翁意识</w:t>
            </w:r>
          </w:p>
          <w:p w14:paraId="28338E61">
            <w:pPr>
              <w:pStyle w:val="15"/>
              <w:widowControl w:val="0"/>
              <w:numPr>
                <w:ilvl w:val="0"/>
                <w:numId w:val="0"/>
              </w:numPr>
              <w:ind w:right="-120" w:rightChars="0"/>
              <w:jc w:val="left"/>
              <w:rPr>
                <w:color w:val="auto"/>
              </w:rPr>
            </w:pPr>
            <w:r>
              <w:rPr>
                <w:rFonts w:hint="eastAsia"/>
                <w:color w:val="auto"/>
              </w:rPr>
              <w:t>和社会责任感。</w:t>
            </w:r>
          </w:p>
          <w:p w14:paraId="10406799">
            <w:pPr>
              <w:pStyle w:val="15"/>
              <w:widowControl w:val="0"/>
              <w:numPr>
                <w:ilvl w:val="0"/>
                <w:numId w:val="6"/>
              </w:numPr>
              <w:ind w:left="0" w:leftChars="0" w:right="-120" w:firstLine="420" w:firstLineChars="200"/>
              <w:jc w:val="left"/>
              <w:rPr>
                <w:rFonts w:hint="eastAsia"/>
                <w:color w:val="auto"/>
              </w:rPr>
            </w:pPr>
            <w:r>
              <w:rPr>
                <w:rFonts w:hint="eastAsia"/>
                <w:color w:val="auto"/>
              </w:rPr>
              <w:t>课外用思政；作为养老服务管理专业的学生，在学习健康教育学的同时，为社区老</w:t>
            </w:r>
          </w:p>
          <w:p w14:paraId="3DD399F9">
            <w:pPr>
              <w:pStyle w:val="15"/>
              <w:widowControl w:val="0"/>
              <w:numPr>
                <w:ilvl w:val="0"/>
                <w:numId w:val="0"/>
              </w:numPr>
              <w:ind w:right="-120" w:rightChars="0"/>
              <w:jc w:val="left"/>
              <w:rPr>
                <w:rFonts w:hint="eastAsia"/>
                <w:color w:val="auto"/>
              </w:rPr>
            </w:pPr>
            <w:r>
              <w:rPr>
                <w:rFonts w:hint="eastAsia"/>
                <w:color w:val="auto"/>
              </w:rPr>
              <w:t>年人传授高血压、糖尿病、老年性痴呆、心脑血管等常见疾病的预防和自我保健知识；为</w:t>
            </w:r>
          </w:p>
          <w:p w14:paraId="03B73624">
            <w:pPr>
              <w:pStyle w:val="15"/>
              <w:widowControl w:val="0"/>
              <w:ind w:right="-120"/>
              <w:jc w:val="left"/>
              <w:rPr>
                <w:rFonts w:hint="eastAsia"/>
                <w:color w:val="auto"/>
              </w:rPr>
            </w:pPr>
            <w:r>
              <w:rPr>
                <w:rFonts w:hint="eastAsia"/>
                <w:color w:val="auto"/>
              </w:rPr>
              <w:t>社会上的吸烟人群提供可行的戒烟方案；为新冠肺炎疫情防控贡献一己之力；为预防艾滋病</w:t>
            </w:r>
          </w:p>
          <w:p w14:paraId="4B610300">
            <w:pPr>
              <w:pStyle w:val="15"/>
              <w:widowControl w:val="0"/>
              <w:ind w:right="-120"/>
              <w:jc w:val="left"/>
              <w:rPr>
                <w:rFonts w:hint="eastAsia"/>
                <w:color w:val="auto"/>
              </w:rPr>
            </w:pPr>
            <w:r>
              <w:rPr>
                <w:rFonts w:hint="eastAsia"/>
                <w:color w:val="auto"/>
              </w:rPr>
              <w:t>等疾病中充分发挥自己的特长。将课内所学很好的融于实际生活中。在实际生活中践行“理</w:t>
            </w:r>
          </w:p>
          <w:p w14:paraId="5FBF0174">
            <w:pPr>
              <w:pStyle w:val="15"/>
              <w:widowControl w:val="0"/>
              <w:ind w:right="-120"/>
              <w:jc w:val="left"/>
              <w:rPr>
                <w:rFonts w:hint="eastAsia"/>
                <w:color w:val="auto"/>
              </w:rPr>
            </w:pPr>
            <w:r>
              <w:rPr>
                <w:rFonts w:hint="eastAsia"/>
                <w:color w:val="auto"/>
              </w:rPr>
              <w:t>解健康教育目的是让人们做出有益于健康的选择；健康促进是使健康选择成为每个人既方便</w:t>
            </w:r>
          </w:p>
          <w:p w14:paraId="45460222">
            <w:pPr>
              <w:pStyle w:val="15"/>
              <w:widowControl w:val="0"/>
              <w:ind w:right="-120"/>
              <w:jc w:val="left"/>
              <w:rPr>
                <w:color w:val="auto"/>
              </w:rPr>
            </w:pPr>
            <w:r>
              <w:rPr>
                <w:rFonts w:hint="eastAsia"/>
                <w:color w:val="auto"/>
              </w:rPr>
              <w:t>又实惠的选择。”</w:t>
            </w:r>
          </w:p>
          <w:p w14:paraId="705440B3">
            <w:pPr>
              <w:pStyle w:val="15"/>
              <w:widowControl w:val="0"/>
              <w:ind w:right="-120"/>
              <w:jc w:val="left"/>
              <w:rPr>
                <w:rFonts w:hint="eastAsia"/>
              </w:rPr>
            </w:pPr>
          </w:p>
        </w:tc>
      </w:tr>
    </w:tbl>
    <w:p w14:paraId="07CBCA55">
      <w:pPr>
        <w:pStyle w:val="17"/>
        <w:spacing w:before="326" w:beforeLines="100" w:line="360" w:lineRule="auto"/>
        <w:ind w:right="-120"/>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929"/>
      </w:tblGrid>
      <w:tr w14:paraId="264C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right w:val="single" w:color="auto" w:sz="4" w:space="0"/>
            </w:tcBorders>
            <w:vAlign w:val="center"/>
          </w:tcPr>
          <w:p w14:paraId="53328F8C">
            <w:pPr>
              <w:widowControl w:val="0"/>
              <w:snapToGrid w:val="0"/>
              <w:ind w:right="-12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left w:val="single" w:color="auto" w:sz="4" w:space="0"/>
              <w:right w:val="single" w:color="auto" w:sz="4" w:space="0"/>
            </w:tcBorders>
            <w:vAlign w:val="center"/>
          </w:tcPr>
          <w:p w14:paraId="06003CA1">
            <w:pPr>
              <w:pStyle w:val="17"/>
              <w:widowControl w:val="0"/>
              <w:spacing w:line="240" w:lineRule="auto"/>
              <w:ind w:right="-120"/>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left w:val="single" w:color="auto" w:sz="4" w:space="0"/>
              <w:right w:val="single" w:color="auto" w:sz="4" w:space="0"/>
            </w:tcBorders>
            <w:vAlign w:val="center"/>
          </w:tcPr>
          <w:p w14:paraId="054EE912">
            <w:pPr>
              <w:pStyle w:val="17"/>
              <w:widowControl w:val="0"/>
              <w:ind w:right="-12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single" w:color="auto" w:sz="4" w:space="0"/>
              <w:right w:val="single" w:color="auto" w:sz="4" w:space="0"/>
            </w:tcBorders>
            <w:vAlign w:val="center"/>
          </w:tcPr>
          <w:p w14:paraId="0C8034F1">
            <w:pPr>
              <w:pStyle w:val="17"/>
              <w:widowControl w:val="0"/>
              <w:spacing w:line="240" w:lineRule="auto"/>
              <w:ind w:right="-120"/>
              <w:jc w:val="center"/>
              <w:rPr>
                <w:rFonts w:ascii="黑体" w:hAnsi="宋体"/>
              </w:rPr>
            </w:pPr>
            <w:r>
              <w:rPr>
                <w:rFonts w:hint="eastAsia" w:ascii="黑体" w:hAnsi="黑体"/>
                <w:bCs/>
                <w:sz w:val="21"/>
                <w:szCs w:val="21"/>
              </w:rPr>
              <w:t>课程目标</w:t>
            </w:r>
          </w:p>
        </w:tc>
        <w:tc>
          <w:tcPr>
            <w:tcW w:w="929" w:type="dxa"/>
            <w:vMerge w:val="restart"/>
            <w:tcBorders>
              <w:top w:val="single" w:color="auto" w:sz="12" w:space="0"/>
              <w:left w:val="single" w:color="auto" w:sz="4" w:space="0"/>
              <w:right w:val="single" w:color="auto" w:sz="12" w:space="0"/>
            </w:tcBorders>
            <w:vAlign w:val="center"/>
          </w:tcPr>
          <w:p w14:paraId="6AA9F76F">
            <w:pPr>
              <w:pStyle w:val="17"/>
              <w:widowControl w:val="0"/>
              <w:spacing w:line="240" w:lineRule="auto"/>
              <w:ind w:right="-120"/>
              <w:jc w:val="center"/>
              <w:rPr>
                <w:rFonts w:ascii="黑体" w:hAnsi="黑体"/>
                <w:bCs/>
                <w:sz w:val="21"/>
                <w:szCs w:val="21"/>
              </w:rPr>
            </w:pPr>
            <w:r>
              <w:rPr>
                <w:rFonts w:hint="eastAsia" w:ascii="黑体" w:hAnsi="黑体"/>
                <w:bCs/>
                <w:sz w:val="21"/>
                <w:szCs w:val="21"/>
              </w:rPr>
              <w:t>合计</w:t>
            </w:r>
          </w:p>
        </w:tc>
      </w:tr>
      <w:tr w14:paraId="3D1B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right w:val="single" w:color="auto" w:sz="4" w:space="0"/>
            </w:tcBorders>
          </w:tcPr>
          <w:p w14:paraId="31130AB9">
            <w:pPr>
              <w:widowControl w:val="0"/>
              <w:snapToGrid w:val="0"/>
              <w:ind w:right="-120"/>
              <w:jc w:val="center"/>
              <w:rPr>
                <w:rFonts w:ascii="黑体" w:hAnsi="黑体" w:eastAsia="黑体"/>
                <w:bCs/>
                <w:sz w:val="21"/>
                <w:szCs w:val="21"/>
              </w:rPr>
            </w:pPr>
          </w:p>
        </w:tc>
        <w:tc>
          <w:tcPr>
            <w:tcW w:w="709" w:type="dxa"/>
            <w:vMerge w:val="continue"/>
            <w:tcBorders>
              <w:left w:val="single" w:color="auto" w:sz="4" w:space="0"/>
              <w:right w:val="single" w:color="auto" w:sz="4" w:space="0"/>
            </w:tcBorders>
          </w:tcPr>
          <w:p w14:paraId="721471E2">
            <w:pPr>
              <w:pStyle w:val="17"/>
              <w:widowControl w:val="0"/>
              <w:ind w:right="-120"/>
              <w:jc w:val="both"/>
              <w:rPr>
                <w:rFonts w:ascii="黑体" w:hAnsi="黑体"/>
                <w:bCs/>
                <w:sz w:val="21"/>
                <w:szCs w:val="21"/>
              </w:rPr>
            </w:pPr>
          </w:p>
        </w:tc>
        <w:tc>
          <w:tcPr>
            <w:tcW w:w="2353" w:type="dxa"/>
            <w:vMerge w:val="continue"/>
            <w:tcBorders>
              <w:left w:val="single" w:color="auto" w:sz="4" w:space="0"/>
              <w:right w:val="single" w:color="auto" w:sz="4" w:space="0"/>
            </w:tcBorders>
          </w:tcPr>
          <w:p w14:paraId="12D73955">
            <w:pPr>
              <w:pStyle w:val="17"/>
              <w:widowControl w:val="0"/>
              <w:ind w:right="-120"/>
              <w:jc w:val="both"/>
              <w:rPr>
                <w:rFonts w:ascii="黑体" w:hAnsi="黑体"/>
                <w:bCs/>
                <w:sz w:val="21"/>
                <w:szCs w:val="21"/>
              </w:rPr>
            </w:pPr>
          </w:p>
        </w:tc>
        <w:tc>
          <w:tcPr>
            <w:tcW w:w="612" w:type="dxa"/>
            <w:tcBorders>
              <w:left w:val="single" w:color="auto" w:sz="4" w:space="0"/>
              <w:right w:val="single" w:color="auto" w:sz="4" w:space="0"/>
            </w:tcBorders>
            <w:vAlign w:val="center"/>
          </w:tcPr>
          <w:p w14:paraId="1A3C0393">
            <w:pPr>
              <w:pStyle w:val="17"/>
              <w:widowControl w:val="0"/>
              <w:spacing w:line="240" w:lineRule="auto"/>
              <w:ind w:right="-120"/>
              <w:jc w:val="center"/>
              <w:rPr>
                <w:rFonts w:ascii="黑体" w:hAnsi="黑体"/>
                <w:bCs/>
                <w:sz w:val="21"/>
                <w:szCs w:val="21"/>
              </w:rPr>
            </w:pPr>
            <w:r>
              <w:rPr>
                <w:rFonts w:hint="eastAsia" w:ascii="黑体" w:hAnsi="黑体"/>
                <w:bCs/>
                <w:sz w:val="21"/>
                <w:szCs w:val="21"/>
              </w:rPr>
              <w:t>1</w:t>
            </w:r>
          </w:p>
        </w:tc>
        <w:tc>
          <w:tcPr>
            <w:tcW w:w="612" w:type="dxa"/>
            <w:tcBorders>
              <w:left w:val="single" w:color="auto" w:sz="4" w:space="0"/>
              <w:right w:val="single" w:color="auto" w:sz="4" w:space="0"/>
            </w:tcBorders>
            <w:vAlign w:val="center"/>
          </w:tcPr>
          <w:p w14:paraId="3847AA12">
            <w:pPr>
              <w:pStyle w:val="17"/>
              <w:widowControl w:val="0"/>
              <w:spacing w:line="240" w:lineRule="auto"/>
              <w:ind w:right="-120"/>
              <w:jc w:val="center"/>
              <w:rPr>
                <w:rFonts w:ascii="黑体" w:hAnsi="黑体"/>
                <w:bCs/>
                <w:sz w:val="21"/>
                <w:szCs w:val="21"/>
              </w:rPr>
            </w:pPr>
            <w:r>
              <w:rPr>
                <w:rFonts w:hint="eastAsia" w:ascii="黑体" w:hAnsi="黑体"/>
                <w:bCs/>
                <w:sz w:val="21"/>
                <w:szCs w:val="21"/>
              </w:rPr>
              <w:t>2</w:t>
            </w:r>
          </w:p>
        </w:tc>
        <w:tc>
          <w:tcPr>
            <w:tcW w:w="612" w:type="dxa"/>
            <w:tcBorders>
              <w:left w:val="single" w:color="auto" w:sz="4" w:space="0"/>
              <w:right w:val="single" w:color="auto" w:sz="4" w:space="0"/>
            </w:tcBorders>
            <w:vAlign w:val="center"/>
          </w:tcPr>
          <w:p w14:paraId="06670DE3">
            <w:pPr>
              <w:pStyle w:val="17"/>
              <w:widowControl w:val="0"/>
              <w:spacing w:line="240" w:lineRule="auto"/>
              <w:ind w:right="-120"/>
              <w:jc w:val="center"/>
              <w:rPr>
                <w:rFonts w:ascii="黑体" w:hAnsi="黑体"/>
                <w:bCs/>
                <w:sz w:val="21"/>
                <w:szCs w:val="21"/>
              </w:rPr>
            </w:pPr>
            <w:r>
              <w:rPr>
                <w:rFonts w:hint="eastAsia" w:ascii="黑体" w:hAnsi="黑体"/>
                <w:bCs/>
                <w:sz w:val="21"/>
                <w:szCs w:val="21"/>
              </w:rPr>
              <w:t>3</w:t>
            </w:r>
          </w:p>
        </w:tc>
        <w:tc>
          <w:tcPr>
            <w:tcW w:w="612" w:type="dxa"/>
            <w:tcBorders>
              <w:left w:val="single" w:color="auto" w:sz="4" w:space="0"/>
              <w:right w:val="single" w:color="auto" w:sz="4" w:space="0"/>
            </w:tcBorders>
            <w:vAlign w:val="center"/>
          </w:tcPr>
          <w:p w14:paraId="50981F5F">
            <w:pPr>
              <w:pStyle w:val="17"/>
              <w:widowControl w:val="0"/>
              <w:spacing w:line="240" w:lineRule="auto"/>
              <w:ind w:right="-120"/>
              <w:jc w:val="center"/>
              <w:rPr>
                <w:rFonts w:ascii="黑体" w:hAnsi="黑体"/>
                <w:bCs/>
                <w:sz w:val="21"/>
                <w:szCs w:val="21"/>
              </w:rPr>
            </w:pPr>
            <w:r>
              <w:rPr>
                <w:rFonts w:hint="eastAsia" w:ascii="黑体" w:hAnsi="黑体"/>
                <w:bCs/>
                <w:sz w:val="21"/>
                <w:szCs w:val="21"/>
              </w:rPr>
              <w:t>4</w:t>
            </w:r>
          </w:p>
        </w:tc>
        <w:tc>
          <w:tcPr>
            <w:tcW w:w="612" w:type="dxa"/>
            <w:tcBorders>
              <w:left w:val="single" w:color="auto" w:sz="4" w:space="0"/>
              <w:right w:val="single" w:color="auto" w:sz="4" w:space="0"/>
            </w:tcBorders>
            <w:vAlign w:val="center"/>
          </w:tcPr>
          <w:p w14:paraId="3A639EA8">
            <w:pPr>
              <w:pStyle w:val="17"/>
              <w:widowControl w:val="0"/>
              <w:spacing w:line="240" w:lineRule="auto"/>
              <w:ind w:right="-120"/>
              <w:jc w:val="center"/>
              <w:rPr>
                <w:rFonts w:ascii="黑体" w:hAnsi="黑体"/>
                <w:bCs/>
                <w:sz w:val="21"/>
                <w:szCs w:val="21"/>
              </w:rPr>
            </w:pPr>
            <w:r>
              <w:rPr>
                <w:rFonts w:hint="eastAsia" w:ascii="黑体" w:hAnsi="黑体"/>
                <w:bCs/>
                <w:sz w:val="21"/>
                <w:szCs w:val="21"/>
              </w:rPr>
              <w:t>5</w:t>
            </w:r>
          </w:p>
        </w:tc>
        <w:tc>
          <w:tcPr>
            <w:tcW w:w="612" w:type="dxa"/>
            <w:tcBorders>
              <w:left w:val="single" w:color="auto" w:sz="4" w:space="0"/>
              <w:right w:val="single" w:color="auto" w:sz="4" w:space="0"/>
            </w:tcBorders>
            <w:vAlign w:val="center"/>
          </w:tcPr>
          <w:p w14:paraId="0DCDECED">
            <w:pPr>
              <w:pStyle w:val="17"/>
              <w:widowControl w:val="0"/>
              <w:spacing w:line="240" w:lineRule="auto"/>
              <w:ind w:right="-120"/>
              <w:jc w:val="center"/>
              <w:rPr>
                <w:rFonts w:ascii="黑体" w:hAnsi="黑体"/>
                <w:bCs/>
                <w:sz w:val="21"/>
                <w:szCs w:val="21"/>
              </w:rPr>
            </w:pPr>
            <w:r>
              <w:rPr>
                <w:rFonts w:hint="eastAsia" w:ascii="黑体" w:hAnsi="黑体"/>
                <w:bCs/>
                <w:sz w:val="21"/>
                <w:szCs w:val="21"/>
              </w:rPr>
              <w:t>6</w:t>
            </w:r>
          </w:p>
        </w:tc>
        <w:tc>
          <w:tcPr>
            <w:tcW w:w="929" w:type="dxa"/>
            <w:vMerge w:val="continue"/>
            <w:tcBorders>
              <w:left w:val="single" w:color="auto" w:sz="4" w:space="0"/>
              <w:right w:val="single" w:color="auto" w:sz="12" w:space="0"/>
            </w:tcBorders>
          </w:tcPr>
          <w:p w14:paraId="131F6AE1">
            <w:pPr>
              <w:pStyle w:val="17"/>
              <w:widowControl w:val="0"/>
              <w:spacing w:line="240" w:lineRule="auto"/>
              <w:ind w:right="-120"/>
              <w:jc w:val="center"/>
              <w:rPr>
                <w:rFonts w:ascii="黑体" w:hAnsi="黑体"/>
                <w:bCs/>
                <w:sz w:val="21"/>
                <w:szCs w:val="21"/>
              </w:rPr>
            </w:pPr>
          </w:p>
        </w:tc>
      </w:tr>
      <w:tr w14:paraId="08FC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right w:val="single" w:color="auto" w:sz="4" w:space="0"/>
            </w:tcBorders>
            <w:vAlign w:val="center"/>
          </w:tcPr>
          <w:p w14:paraId="6B7D7D11">
            <w:pPr>
              <w:widowControl w:val="0"/>
              <w:snapToGrid w:val="0"/>
              <w:ind w:right="-120"/>
              <w:jc w:val="center"/>
              <w:rPr>
                <w:rFonts w:ascii="Arial" w:hAnsi="Arial" w:eastAsia="黑体" w:cs="Arial"/>
                <w:bCs/>
                <w:sz w:val="21"/>
                <w:szCs w:val="21"/>
              </w:rPr>
            </w:pPr>
            <w:r>
              <w:rPr>
                <w:rFonts w:ascii="Arial" w:hAnsi="Arial" w:eastAsia="黑体" w:cs="Arial"/>
                <w:bCs/>
                <w:sz w:val="21"/>
                <w:szCs w:val="21"/>
              </w:rPr>
              <w:t>1</w:t>
            </w:r>
          </w:p>
        </w:tc>
        <w:tc>
          <w:tcPr>
            <w:tcW w:w="709" w:type="dxa"/>
            <w:tcBorders>
              <w:left w:val="single" w:color="auto" w:sz="4" w:space="0"/>
              <w:right w:val="single" w:color="auto" w:sz="4" w:space="0"/>
            </w:tcBorders>
            <w:vAlign w:val="center"/>
          </w:tcPr>
          <w:p w14:paraId="6F62BC05">
            <w:pPr>
              <w:pStyle w:val="15"/>
              <w:widowControl w:val="0"/>
              <w:ind w:right="-120"/>
            </w:pPr>
            <w:r>
              <w:rPr>
                <w:rFonts w:hint="eastAsia"/>
              </w:rPr>
              <w:t>50%</w:t>
            </w:r>
          </w:p>
        </w:tc>
        <w:tc>
          <w:tcPr>
            <w:tcW w:w="2353" w:type="dxa"/>
            <w:tcBorders>
              <w:left w:val="single" w:color="auto" w:sz="4" w:space="0"/>
              <w:right w:val="single" w:color="auto" w:sz="4" w:space="0"/>
            </w:tcBorders>
            <w:vAlign w:val="center"/>
          </w:tcPr>
          <w:p w14:paraId="57293010">
            <w:pPr>
              <w:pStyle w:val="15"/>
              <w:widowControl w:val="0"/>
              <w:ind w:right="-120"/>
            </w:pPr>
            <w:r>
              <w:rPr>
                <w:rFonts w:hint="eastAsia"/>
                <w:lang w:val="en-US" w:eastAsia="zh-CN"/>
              </w:rPr>
              <w:t>期末</w:t>
            </w:r>
            <w:r>
              <w:rPr>
                <w:rFonts w:hint="eastAsia"/>
              </w:rPr>
              <w:t>考试</w:t>
            </w:r>
          </w:p>
        </w:tc>
        <w:tc>
          <w:tcPr>
            <w:tcW w:w="612" w:type="dxa"/>
            <w:tcBorders>
              <w:left w:val="single" w:color="auto" w:sz="4" w:space="0"/>
              <w:right w:val="single" w:color="auto" w:sz="4" w:space="0"/>
            </w:tcBorders>
            <w:vAlign w:val="center"/>
          </w:tcPr>
          <w:p w14:paraId="09967E2A">
            <w:pPr>
              <w:pStyle w:val="15"/>
              <w:widowControl w:val="0"/>
              <w:ind w:right="-120"/>
            </w:pPr>
            <w:r>
              <w:rPr>
                <w:rFonts w:hint="eastAsia"/>
              </w:rPr>
              <w:t>20</w:t>
            </w:r>
          </w:p>
        </w:tc>
        <w:tc>
          <w:tcPr>
            <w:tcW w:w="612" w:type="dxa"/>
            <w:tcBorders>
              <w:left w:val="single" w:color="auto" w:sz="4" w:space="0"/>
              <w:right w:val="single" w:color="auto" w:sz="4" w:space="0"/>
            </w:tcBorders>
            <w:vAlign w:val="center"/>
          </w:tcPr>
          <w:p w14:paraId="360234E3">
            <w:pPr>
              <w:pStyle w:val="15"/>
              <w:widowControl w:val="0"/>
              <w:ind w:right="-120"/>
            </w:pPr>
            <w:r>
              <w:rPr>
                <w:rFonts w:hint="eastAsia"/>
              </w:rPr>
              <w:t>20</w:t>
            </w:r>
          </w:p>
        </w:tc>
        <w:tc>
          <w:tcPr>
            <w:tcW w:w="612" w:type="dxa"/>
            <w:tcBorders>
              <w:left w:val="single" w:color="auto" w:sz="4" w:space="0"/>
              <w:right w:val="single" w:color="auto" w:sz="4" w:space="0"/>
            </w:tcBorders>
            <w:vAlign w:val="center"/>
          </w:tcPr>
          <w:p w14:paraId="0D8B2526">
            <w:pPr>
              <w:pStyle w:val="15"/>
              <w:widowControl w:val="0"/>
              <w:ind w:right="-120"/>
            </w:pPr>
            <w:r>
              <w:rPr>
                <w:rFonts w:hint="eastAsia"/>
              </w:rPr>
              <w:t>30</w:t>
            </w:r>
          </w:p>
        </w:tc>
        <w:tc>
          <w:tcPr>
            <w:tcW w:w="612" w:type="dxa"/>
            <w:tcBorders>
              <w:left w:val="single" w:color="auto" w:sz="4" w:space="0"/>
              <w:right w:val="single" w:color="auto" w:sz="4" w:space="0"/>
            </w:tcBorders>
            <w:vAlign w:val="center"/>
          </w:tcPr>
          <w:p w14:paraId="6F94B610">
            <w:pPr>
              <w:pStyle w:val="15"/>
              <w:widowControl w:val="0"/>
              <w:ind w:right="-120"/>
            </w:pPr>
            <w:r>
              <w:rPr>
                <w:rFonts w:hint="eastAsia"/>
              </w:rPr>
              <w:t>30</w:t>
            </w:r>
          </w:p>
        </w:tc>
        <w:tc>
          <w:tcPr>
            <w:tcW w:w="612" w:type="dxa"/>
            <w:tcBorders>
              <w:left w:val="single" w:color="auto" w:sz="4" w:space="0"/>
              <w:right w:val="single" w:color="auto" w:sz="4" w:space="0"/>
            </w:tcBorders>
            <w:vAlign w:val="center"/>
          </w:tcPr>
          <w:p w14:paraId="4C80A7C0">
            <w:pPr>
              <w:pStyle w:val="15"/>
              <w:widowControl w:val="0"/>
              <w:ind w:right="-120"/>
            </w:pPr>
          </w:p>
        </w:tc>
        <w:tc>
          <w:tcPr>
            <w:tcW w:w="612" w:type="dxa"/>
            <w:tcBorders>
              <w:left w:val="single" w:color="auto" w:sz="4" w:space="0"/>
              <w:right w:val="single" w:color="auto" w:sz="4" w:space="0"/>
            </w:tcBorders>
            <w:vAlign w:val="center"/>
          </w:tcPr>
          <w:p w14:paraId="50A907E0">
            <w:pPr>
              <w:pStyle w:val="15"/>
              <w:widowControl w:val="0"/>
              <w:ind w:right="-120"/>
            </w:pPr>
          </w:p>
        </w:tc>
        <w:tc>
          <w:tcPr>
            <w:tcW w:w="929" w:type="dxa"/>
            <w:tcBorders>
              <w:left w:val="single" w:color="auto" w:sz="4" w:space="0"/>
              <w:right w:val="single" w:color="auto" w:sz="12" w:space="0"/>
            </w:tcBorders>
            <w:vAlign w:val="center"/>
          </w:tcPr>
          <w:p w14:paraId="751D1EAD">
            <w:pPr>
              <w:pStyle w:val="15"/>
              <w:widowControl w:val="0"/>
              <w:ind w:right="-120"/>
            </w:pPr>
            <w:r>
              <w:rPr>
                <w:rFonts w:hint="eastAsia"/>
              </w:rPr>
              <w:t>1</w:t>
            </w:r>
            <w:r>
              <w:t>00</w:t>
            </w:r>
          </w:p>
        </w:tc>
      </w:tr>
      <w:tr w14:paraId="0E1E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right w:val="single" w:color="auto" w:sz="4" w:space="0"/>
            </w:tcBorders>
            <w:vAlign w:val="center"/>
          </w:tcPr>
          <w:p w14:paraId="7944A32C">
            <w:pPr>
              <w:widowControl w:val="0"/>
              <w:snapToGrid w:val="0"/>
              <w:ind w:right="-120"/>
              <w:jc w:val="center"/>
              <w:rPr>
                <w:rFonts w:ascii="Arial" w:hAnsi="Arial" w:eastAsia="黑体" w:cs="Arial"/>
                <w:bCs/>
                <w:sz w:val="21"/>
                <w:szCs w:val="21"/>
              </w:rPr>
            </w:pPr>
            <w:r>
              <w:rPr>
                <w:rFonts w:ascii="Arial" w:hAnsi="Arial" w:eastAsia="黑体" w:cs="Arial"/>
                <w:bCs/>
                <w:sz w:val="21"/>
                <w:szCs w:val="21"/>
              </w:rPr>
              <w:t>X1</w:t>
            </w:r>
          </w:p>
        </w:tc>
        <w:tc>
          <w:tcPr>
            <w:tcW w:w="709" w:type="dxa"/>
            <w:tcBorders>
              <w:left w:val="single" w:color="auto" w:sz="4" w:space="0"/>
              <w:right w:val="single" w:color="auto" w:sz="4" w:space="0"/>
            </w:tcBorders>
            <w:vAlign w:val="center"/>
          </w:tcPr>
          <w:p w14:paraId="2B10BE4E">
            <w:pPr>
              <w:pStyle w:val="15"/>
              <w:widowControl w:val="0"/>
              <w:ind w:right="-120"/>
            </w:pPr>
            <w:r>
              <w:rPr>
                <w:rFonts w:hint="eastAsia"/>
                <w:lang w:val="en-US" w:eastAsia="zh-CN"/>
              </w:rPr>
              <w:t>15</w:t>
            </w:r>
            <w:r>
              <w:rPr>
                <w:rFonts w:hint="eastAsia"/>
              </w:rPr>
              <w:t>%</w:t>
            </w:r>
          </w:p>
        </w:tc>
        <w:tc>
          <w:tcPr>
            <w:tcW w:w="2353" w:type="dxa"/>
            <w:tcBorders>
              <w:left w:val="single" w:color="auto" w:sz="4" w:space="0"/>
              <w:right w:val="single" w:color="auto" w:sz="4" w:space="0"/>
            </w:tcBorders>
            <w:vAlign w:val="center"/>
          </w:tcPr>
          <w:p w14:paraId="0A48597A">
            <w:pPr>
              <w:pStyle w:val="15"/>
              <w:widowControl w:val="0"/>
              <w:ind w:right="-120"/>
            </w:pPr>
            <w:r>
              <w:rPr>
                <w:rFonts w:hint="eastAsia"/>
              </w:rPr>
              <w:t>中期考核</w:t>
            </w:r>
          </w:p>
        </w:tc>
        <w:tc>
          <w:tcPr>
            <w:tcW w:w="612" w:type="dxa"/>
            <w:tcBorders>
              <w:left w:val="single" w:color="auto" w:sz="4" w:space="0"/>
              <w:right w:val="single" w:color="auto" w:sz="4" w:space="0"/>
            </w:tcBorders>
            <w:vAlign w:val="center"/>
          </w:tcPr>
          <w:p w14:paraId="67F5A643">
            <w:pPr>
              <w:pStyle w:val="15"/>
              <w:widowControl w:val="0"/>
              <w:ind w:right="-120"/>
            </w:pPr>
          </w:p>
        </w:tc>
        <w:tc>
          <w:tcPr>
            <w:tcW w:w="612" w:type="dxa"/>
            <w:tcBorders>
              <w:left w:val="single" w:color="auto" w:sz="4" w:space="0"/>
              <w:right w:val="single" w:color="auto" w:sz="4" w:space="0"/>
            </w:tcBorders>
            <w:vAlign w:val="center"/>
          </w:tcPr>
          <w:p w14:paraId="5517B3E3">
            <w:pPr>
              <w:pStyle w:val="15"/>
              <w:widowControl w:val="0"/>
              <w:ind w:right="-120"/>
            </w:pPr>
          </w:p>
        </w:tc>
        <w:tc>
          <w:tcPr>
            <w:tcW w:w="612" w:type="dxa"/>
            <w:tcBorders>
              <w:left w:val="single" w:color="auto" w:sz="4" w:space="0"/>
              <w:right w:val="single" w:color="auto" w:sz="4" w:space="0"/>
            </w:tcBorders>
            <w:vAlign w:val="center"/>
          </w:tcPr>
          <w:p w14:paraId="30DE670E">
            <w:pPr>
              <w:pStyle w:val="15"/>
              <w:widowControl w:val="0"/>
              <w:ind w:right="-120"/>
            </w:pPr>
            <w:r>
              <w:rPr>
                <w:rFonts w:hint="eastAsia"/>
              </w:rPr>
              <w:t>40</w:t>
            </w:r>
          </w:p>
        </w:tc>
        <w:tc>
          <w:tcPr>
            <w:tcW w:w="612" w:type="dxa"/>
            <w:tcBorders>
              <w:left w:val="single" w:color="auto" w:sz="4" w:space="0"/>
              <w:right w:val="single" w:color="auto" w:sz="4" w:space="0"/>
            </w:tcBorders>
            <w:vAlign w:val="center"/>
          </w:tcPr>
          <w:p w14:paraId="323B943F">
            <w:pPr>
              <w:pStyle w:val="15"/>
              <w:widowControl w:val="0"/>
              <w:ind w:right="-120"/>
            </w:pPr>
            <w:r>
              <w:rPr>
                <w:rFonts w:hint="eastAsia"/>
              </w:rPr>
              <w:t>40</w:t>
            </w:r>
          </w:p>
        </w:tc>
        <w:tc>
          <w:tcPr>
            <w:tcW w:w="612" w:type="dxa"/>
            <w:tcBorders>
              <w:left w:val="single" w:color="auto" w:sz="4" w:space="0"/>
              <w:right w:val="single" w:color="auto" w:sz="4" w:space="0"/>
            </w:tcBorders>
            <w:vAlign w:val="center"/>
          </w:tcPr>
          <w:p w14:paraId="43DEE317">
            <w:pPr>
              <w:pStyle w:val="15"/>
              <w:widowControl w:val="0"/>
              <w:ind w:right="-120"/>
            </w:pPr>
            <w:r>
              <w:rPr>
                <w:rFonts w:hint="eastAsia"/>
              </w:rPr>
              <w:t>10</w:t>
            </w:r>
          </w:p>
        </w:tc>
        <w:tc>
          <w:tcPr>
            <w:tcW w:w="612" w:type="dxa"/>
            <w:tcBorders>
              <w:left w:val="single" w:color="auto" w:sz="4" w:space="0"/>
              <w:right w:val="single" w:color="auto" w:sz="4" w:space="0"/>
            </w:tcBorders>
            <w:vAlign w:val="center"/>
          </w:tcPr>
          <w:p w14:paraId="5688D8B2">
            <w:pPr>
              <w:pStyle w:val="15"/>
              <w:widowControl w:val="0"/>
              <w:ind w:right="-120"/>
            </w:pPr>
            <w:r>
              <w:rPr>
                <w:rFonts w:hint="eastAsia"/>
              </w:rPr>
              <w:t>10</w:t>
            </w:r>
          </w:p>
        </w:tc>
        <w:tc>
          <w:tcPr>
            <w:tcW w:w="929" w:type="dxa"/>
            <w:tcBorders>
              <w:left w:val="single" w:color="auto" w:sz="4" w:space="0"/>
              <w:right w:val="single" w:color="auto" w:sz="12" w:space="0"/>
            </w:tcBorders>
            <w:vAlign w:val="center"/>
          </w:tcPr>
          <w:p w14:paraId="3BCA6C75">
            <w:pPr>
              <w:pStyle w:val="15"/>
              <w:widowControl w:val="0"/>
              <w:ind w:right="-120"/>
            </w:pPr>
            <w:r>
              <w:rPr>
                <w:rFonts w:hint="eastAsia"/>
              </w:rPr>
              <w:t>1</w:t>
            </w:r>
            <w:r>
              <w:t>00</w:t>
            </w:r>
          </w:p>
        </w:tc>
      </w:tr>
      <w:tr w14:paraId="7CEA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right w:val="single" w:color="auto" w:sz="4" w:space="0"/>
            </w:tcBorders>
            <w:vAlign w:val="center"/>
          </w:tcPr>
          <w:p w14:paraId="4BFCD976">
            <w:pPr>
              <w:widowControl w:val="0"/>
              <w:snapToGrid w:val="0"/>
              <w:ind w:right="-120"/>
              <w:jc w:val="center"/>
              <w:rPr>
                <w:rFonts w:ascii="Arial" w:hAnsi="Arial" w:eastAsia="黑体" w:cs="Arial"/>
                <w:bCs/>
                <w:sz w:val="21"/>
                <w:szCs w:val="21"/>
              </w:rPr>
            </w:pPr>
            <w:r>
              <w:rPr>
                <w:rFonts w:ascii="Arial" w:hAnsi="Arial" w:eastAsia="黑体" w:cs="Arial"/>
                <w:bCs/>
                <w:sz w:val="21"/>
                <w:szCs w:val="21"/>
              </w:rPr>
              <w:t>X2</w:t>
            </w:r>
          </w:p>
        </w:tc>
        <w:tc>
          <w:tcPr>
            <w:tcW w:w="709" w:type="dxa"/>
            <w:tcBorders>
              <w:left w:val="single" w:color="auto" w:sz="4" w:space="0"/>
              <w:right w:val="single" w:color="auto" w:sz="4" w:space="0"/>
            </w:tcBorders>
            <w:vAlign w:val="center"/>
          </w:tcPr>
          <w:p w14:paraId="025766AA">
            <w:pPr>
              <w:pStyle w:val="15"/>
              <w:widowControl w:val="0"/>
              <w:ind w:right="-120"/>
            </w:pPr>
            <w:r>
              <w:rPr>
                <w:rFonts w:hint="eastAsia"/>
                <w:lang w:val="en-US" w:eastAsia="zh-CN"/>
              </w:rPr>
              <w:t>25</w:t>
            </w:r>
            <w:r>
              <w:rPr>
                <w:rFonts w:hint="eastAsia"/>
              </w:rPr>
              <w:t>%</w:t>
            </w:r>
          </w:p>
        </w:tc>
        <w:tc>
          <w:tcPr>
            <w:tcW w:w="2353" w:type="dxa"/>
            <w:tcBorders>
              <w:left w:val="single" w:color="auto" w:sz="4" w:space="0"/>
              <w:right w:val="single" w:color="auto" w:sz="4" w:space="0"/>
            </w:tcBorders>
            <w:vAlign w:val="center"/>
          </w:tcPr>
          <w:p w14:paraId="3FD1FC3D">
            <w:pPr>
              <w:pStyle w:val="15"/>
              <w:widowControl w:val="0"/>
              <w:ind w:right="-120"/>
            </w:pPr>
            <w:r>
              <w:rPr>
                <w:rFonts w:hint="eastAsia"/>
              </w:rPr>
              <w:t>平时作业</w:t>
            </w:r>
          </w:p>
        </w:tc>
        <w:tc>
          <w:tcPr>
            <w:tcW w:w="612" w:type="dxa"/>
            <w:tcBorders>
              <w:left w:val="single" w:color="auto" w:sz="4" w:space="0"/>
              <w:right w:val="single" w:color="auto" w:sz="4" w:space="0"/>
            </w:tcBorders>
            <w:vAlign w:val="center"/>
          </w:tcPr>
          <w:p w14:paraId="61EA31E9">
            <w:pPr>
              <w:pStyle w:val="15"/>
              <w:widowControl w:val="0"/>
              <w:ind w:right="-120"/>
            </w:pPr>
            <w:r>
              <w:rPr>
                <w:rFonts w:hint="eastAsia"/>
              </w:rPr>
              <w:t>10</w:t>
            </w:r>
          </w:p>
        </w:tc>
        <w:tc>
          <w:tcPr>
            <w:tcW w:w="612" w:type="dxa"/>
            <w:tcBorders>
              <w:left w:val="single" w:color="auto" w:sz="4" w:space="0"/>
              <w:right w:val="single" w:color="auto" w:sz="4" w:space="0"/>
            </w:tcBorders>
            <w:vAlign w:val="center"/>
          </w:tcPr>
          <w:p w14:paraId="721C6FC8">
            <w:pPr>
              <w:pStyle w:val="15"/>
              <w:widowControl w:val="0"/>
              <w:ind w:right="-120"/>
            </w:pPr>
          </w:p>
        </w:tc>
        <w:tc>
          <w:tcPr>
            <w:tcW w:w="612" w:type="dxa"/>
            <w:tcBorders>
              <w:left w:val="single" w:color="auto" w:sz="4" w:space="0"/>
              <w:right w:val="single" w:color="auto" w:sz="4" w:space="0"/>
            </w:tcBorders>
            <w:vAlign w:val="center"/>
          </w:tcPr>
          <w:p w14:paraId="602C2967">
            <w:pPr>
              <w:pStyle w:val="15"/>
              <w:widowControl w:val="0"/>
              <w:ind w:right="-120"/>
            </w:pPr>
            <w:r>
              <w:rPr>
                <w:rFonts w:hint="eastAsia"/>
              </w:rPr>
              <w:t>40</w:t>
            </w:r>
          </w:p>
        </w:tc>
        <w:tc>
          <w:tcPr>
            <w:tcW w:w="612" w:type="dxa"/>
            <w:tcBorders>
              <w:left w:val="single" w:color="auto" w:sz="4" w:space="0"/>
              <w:right w:val="single" w:color="auto" w:sz="4" w:space="0"/>
            </w:tcBorders>
            <w:vAlign w:val="center"/>
          </w:tcPr>
          <w:p w14:paraId="6F6837E8">
            <w:pPr>
              <w:pStyle w:val="15"/>
              <w:widowControl w:val="0"/>
              <w:ind w:right="-120"/>
            </w:pPr>
            <w:r>
              <w:rPr>
                <w:rFonts w:hint="eastAsia"/>
              </w:rPr>
              <w:t>40</w:t>
            </w:r>
          </w:p>
        </w:tc>
        <w:tc>
          <w:tcPr>
            <w:tcW w:w="612" w:type="dxa"/>
            <w:tcBorders>
              <w:left w:val="single" w:color="auto" w:sz="4" w:space="0"/>
              <w:right w:val="single" w:color="auto" w:sz="4" w:space="0"/>
            </w:tcBorders>
            <w:vAlign w:val="center"/>
          </w:tcPr>
          <w:p w14:paraId="3FB0B3C9">
            <w:pPr>
              <w:pStyle w:val="15"/>
              <w:widowControl w:val="0"/>
              <w:ind w:right="-120"/>
            </w:pPr>
          </w:p>
        </w:tc>
        <w:tc>
          <w:tcPr>
            <w:tcW w:w="612" w:type="dxa"/>
            <w:tcBorders>
              <w:left w:val="single" w:color="auto" w:sz="4" w:space="0"/>
              <w:right w:val="single" w:color="auto" w:sz="4" w:space="0"/>
            </w:tcBorders>
            <w:vAlign w:val="center"/>
          </w:tcPr>
          <w:p w14:paraId="52F4CCAD">
            <w:pPr>
              <w:pStyle w:val="15"/>
              <w:widowControl w:val="0"/>
              <w:ind w:right="-120"/>
            </w:pPr>
            <w:r>
              <w:rPr>
                <w:rFonts w:hint="eastAsia"/>
              </w:rPr>
              <w:t>10</w:t>
            </w:r>
          </w:p>
        </w:tc>
        <w:tc>
          <w:tcPr>
            <w:tcW w:w="929" w:type="dxa"/>
            <w:tcBorders>
              <w:left w:val="single" w:color="auto" w:sz="4" w:space="0"/>
              <w:right w:val="single" w:color="auto" w:sz="12" w:space="0"/>
            </w:tcBorders>
            <w:vAlign w:val="center"/>
          </w:tcPr>
          <w:p w14:paraId="32779BBA">
            <w:pPr>
              <w:pStyle w:val="15"/>
              <w:widowControl w:val="0"/>
              <w:ind w:right="-120"/>
            </w:pPr>
            <w:r>
              <w:rPr>
                <w:rFonts w:hint="eastAsia"/>
              </w:rPr>
              <w:t>1</w:t>
            </w:r>
            <w:r>
              <w:t>00</w:t>
            </w:r>
          </w:p>
        </w:tc>
      </w:tr>
      <w:tr w14:paraId="3B1E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6" w:type="dxa"/>
            <w:tcBorders>
              <w:left w:val="single" w:color="auto" w:sz="12" w:space="0"/>
              <w:bottom w:val="single" w:color="auto" w:sz="12" w:space="0"/>
              <w:right w:val="single" w:color="auto" w:sz="4" w:space="0"/>
            </w:tcBorders>
            <w:vAlign w:val="center"/>
          </w:tcPr>
          <w:p w14:paraId="0B80A85A">
            <w:pPr>
              <w:widowControl w:val="0"/>
              <w:snapToGrid w:val="0"/>
              <w:ind w:right="-120"/>
              <w:jc w:val="center"/>
              <w:rPr>
                <w:rFonts w:ascii="Arial" w:hAnsi="Arial" w:eastAsia="黑体" w:cs="Arial"/>
                <w:bCs/>
                <w:sz w:val="21"/>
                <w:szCs w:val="21"/>
              </w:rPr>
            </w:pPr>
            <w:r>
              <w:rPr>
                <w:rFonts w:ascii="Arial" w:hAnsi="Arial" w:eastAsia="黑体" w:cs="Arial"/>
                <w:bCs/>
                <w:sz w:val="21"/>
                <w:szCs w:val="21"/>
              </w:rPr>
              <w:t>X3</w:t>
            </w:r>
          </w:p>
        </w:tc>
        <w:tc>
          <w:tcPr>
            <w:tcW w:w="709" w:type="dxa"/>
            <w:tcBorders>
              <w:left w:val="single" w:color="auto" w:sz="4" w:space="0"/>
              <w:bottom w:val="single" w:color="auto" w:sz="12" w:space="0"/>
              <w:right w:val="single" w:color="auto" w:sz="4" w:space="0"/>
            </w:tcBorders>
            <w:vAlign w:val="center"/>
          </w:tcPr>
          <w:p w14:paraId="32DCE6E4">
            <w:pPr>
              <w:pStyle w:val="15"/>
              <w:widowControl w:val="0"/>
              <w:ind w:right="-120"/>
            </w:pPr>
            <w:r>
              <w:rPr>
                <w:rFonts w:hint="eastAsia"/>
                <w:lang w:val="en-US" w:eastAsia="zh-CN"/>
              </w:rPr>
              <w:t>10</w:t>
            </w:r>
            <w:r>
              <w:rPr>
                <w:rFonts w:hint="eastAsia"/>
              </w:rPr>
              <w:t>%</w:t>
            </w:r>
          </w:p>
        </w:tc>
        <w:tc>
          <w:tcPr>
            <w:tcW w:w="2353" w:type="dxa"/>
            <w:tcBorders>
              <w:left w:val="single" w:color="auto" w:sz="4" w:space="0"/>
              <w:bottom w:val="single" w:color="auto" w:sz="12" w:space="0"/>
              <w:right w:val="single" w:color="auto" w:sz="4" w:space="0"/>
            </w:tcBorders>
            <w:vAlign w:val="center"/>
          </w:tcPr>
          <w:p w14:paraId="2CEBEBB3">
            <w:pPr>
              <w:pStyle w:val="15"/>
              <w:widowControl w:val="0"/>
              <w:ind w:right="-120"/>
            </w:pPr>
            <w:r>
              <w:rPr>
                <w:rFonts w:hint="eastAsia"/>
              </w:rPr>
              <w:t>平时表现</w:t>
            </w:r>
          </w:p>
        </w:tc>
        <w:tc>
          <w:tcPr>
            <w:tcW w:w="612" w:type="dxa"/>
            <w:tcBorders>
              <w:left w:val="single" w:color="auto" w:sz="4" w:space="0"/>
              <w:bottom w:val="single" w:color="auto" w:sz="12" w:space="0"/>
              <w:right w:val="single" w:color="auto" w:sz="4" w:space="0"/>
            </w:tcBorders>
            <w:vAlign w:val="center"/>
          </w:tcPr>
          <w:p w14:paraId="3EEDF6DE">
            <w:pPr>
              <w:pStyle w:val="15"/>
              <w:widowControl w:val="0"/>
              <w:ind w:right="-120"/>
            </w:pPr>
            <w:r>
              <w:rPr>
                <w:rFonts w:hint="eastAsia"/>
              </w:rPr>
              <w:t>10</w:t>
            </w:r>
          </w:p>
        </w:tc>
        <w:tc>
          <w:tcPr>
            <w:tcW w:w="612" w:type="dxa"/>
            <w:tcBorders>
              <w:left w:val="single" w:color="auto" w:sz="4" w:space="0"/>
              <w:bottom w:val="single" w:color="auto" w:sz="12" w:space="0"/>
              <w:right w:val="single" w:color="auto" w:sz="4" w:space="0"/>
            </w:tcBorders>
            <w:vAlign w:val="center"/>
          </w:tcPr>
          <w:p w14:paraId="3CE04273">
            <w:pPr>
              <w:pStyle w:val="15"/>
              <w:widowControl w:val="0"/>
              <w:ind w:right="-120"/>
            </w:pPr>
            <w:r>
              <w:rPr>
                <w:rFonts w:hint="eastAsia"/>
              </w:rPr>
              <w:t>30</w:t>
            </w:r>
          </w:p>
        </w:tc>
        <w:tc>
          <w:tcPr>
            <w:tcW w:w="612" w:type="dxa"/>
            <w:tcBorders>
              <w:left w:val="single" w:color="auto" w:sz="4" w:space="0"/>
              <w:bottom w:val="single" w:color="auto" w:sz="12" w:space="0"/>
              <w:right w:val="single" w:color="auto" w:sz="4" w:space="0"/>
            </w:tcBorders>
            <w:vAlign w:val="center"/>
          </w:tcPr>
          <w:p w14:paraId="2632F56F">
            <w:pPr>
              <w:pStyle w:val="15"/>
              <w:widowControl w:val="0"/>
              <w:ind w:right="-120"/>
            </w:pPr>
            <w:r>
              <w:rPr>
                <w:rFonts w:hint="eastAsia"/>
              </w:rPr>
              <w:t>30</w:t>
            </w:r>
          </w:p>
        </w:tc>
        <w:tc>
          <w:tcPr>
            <w:tcW w:w="612" w:type="dxa"/>
            <w:tcBorders>
              <w:left w:val="single" w:color="auto" w:sz="4" w:space="0"/>
              <w:bottom w:val="single" w:color="auto" w:sz="12" w:space="0"/>
              <w:right w:val="single" w:color="auto" w:sz="4" w:space="0"/>
            </w:tcBorders>
            <w:vAlign w:val="center"/>
          </w:tcPr>
          <w:p w14:paraId="0CC073F7">
            <w:pPr>
              <w:pStyle w:val="15"/>
              <w:widowControl w:val="0"/>
              <w:ind w:right="-120"/>
            </w:pPr>
            <w:r>
              <w:rPr>
                <w:rFonts w:hint="eastAsia"/>
              </w:rPr>
              <w:t>20</w:t>
            </w:r>
          </w:p>
        </w:tc>
        <w:tc>
          <w:tcPr>
            <w:tcW w:w="612" w:type="dxa"/>
            <w:tcBorders>
              <w:left w:val="single" w:color="auto" w:sz="4" w:space="0"/>
              <w:bottom w:val="single" w:color="auto" w:sz="12" w:space="0"/>
              <w:right w:val="single" w:color="auto" w:sz="4" w:space="0"/>
            </w:tcBorders>
            <w:vAlign w:val="center"/>
          </w:tcPr>
          <w:p w14:paraId="51618C5F">
            <w:pPr>
              <w:pStyle w:val="15"/>
              <w:widowControl w:val="0"/>
              <w:ind w:right="-120"/>
            </w:pPr>
            <w:r>
              <w:rPr>
                <w:rFonts w:hint="eastAsia"/>
              </w:rPr>
              <w:t>10</w:t>
            </w:r>
          </w:p>
        </w:tc>
        <w:tc>
          <w:tcPr>
            <w:tcW w:w="612" w:type="dxa"/>
            <w:tcBorders>
              <w:left w:val="single" w:color="auto" w:sz="4" w:space="0"/>
              <w:bottom w:val="single" w:color="auto" w:sz="12" w:space="0"/>
              <w:right w:val="single" w:color="auto" w:sz="4" w:space="0"/>
            </w:tcBorders>
            <w:vAlign w:val="center"/>
          </w:tcPr>
          <w:p w14:paraId="2C871782">
            <w:pPr>
              <w:pStyle w:val="15"/>
              <w:widowControl w:val="0"/>
              <w:ind w:right="-120"/>
            </w:pPr>
          </w:p>
        </w:tc>
        <w:tc>
          <w:tcPr>
            <w:tcW w:w="929" w:type="dxa"/>
            <w:tcBorders>
              <w:left w:val="single" w:color="auto" w:sz="4" w:space="0"/>
              <w:bottom w:val="single" w:color="auto" w:sz="12" w:space="0"/>
              <w:right w:val="single" w:color="auto" w:sz="12" w:space="0"/>
            </w:tcBorders>
            <w:vAlign w:val="center"/>
          </w:tcPr>
          <w:p w14:paraId="1469C22B">
            <w:pPr>
              <w:pStyle w:val="15"/>
              <w:widowControl w:val="0"/>
              <w:ind w:right="-120"/>
            </w:pPr>
            <w:r>
              <w:rPr>
                <w:rFonts w:hint="eastAsia"/>
              </w:rPr>
              <w:t>1</w:t>
            </w:r>
            <w:r>
              <w:t>00</w:t>
            </w:r>
          </w:p>
        </w:tc>
      </w:tr>
    </w:tbl>
    <w:p w14:paraId="646C0C5C">
      <w:pPr>
        <w:pStyle w:val="18"/>
        <w:spacing w:before="326" w:beforeLines="100" w:after="163"/>
        <w:ind w:right="-120"/>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514"/>
        <w:gridCol w:w="1752"/>
        <w:gridCol w:w="1290"/>
        <w:gridCol w:w="1443"/>
        <w:gridCol w:w="1443"/>
        <w:gridCol w:w="1443"/>
      </w:tblGrid>
      <w:tr w14:paraId="0A087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7" w:type="dxa"/>
            <w:vMerge w:val="restart"/>
            <w:vAlign w:val="center"/>
          </w:tcPr>
          <w:p w14:paraId="1E4198A3">
            <w:pPr>
              <w:widowControl w:val="0"/>
              <w:snapToGrid w:val="0"/>
              <w:ind w:right="-120"/>
              <w:jc w:val="center"/>
              <w:rPr>
                <w:rFonts w:ascii="黑体" w:hAnsi="黑体" w:eastAsia="黑体"/>
                <w:bCs/>
                <w:sz w:val="21"/>
                <w:szCs w:val="21"/>
              </w:rPr>
            </w:pPr>
            <w:r>
              <w:rPr>
                <w:rFonts w:hint="eastAsia" w:ascii="黑体" w:hAnsi="黑体" w:eastAsia="黑体"/>
                <w:bCs/>
                <w:sz w:val="21"/>
                <w:szCs w:val="21"/>
              </w:rPr>
              <w:t>考核项目</w:t>
            </w:r>
          </w:p>
        </w:tc>
        <w:tc>
          <w:tcPr>
            <w:tcW w:w="514" w:type="dxa"/>
            <w:vMerge w:val="restart"/>
          </w:tcPr>
          <w:p w14:paraId="79FD03F1">
            <w:pPr>
              <w:widowControl w:val="0"/>
              <w:snapToGrid w:val="0"/>
              <w:ind w:right="-120"/>
              <w:jc w:val="center"/>
              <w:rPr>
                <w:rFonts w:ascii="黑体" w:hAnsi="黑体" w:eastAsia="黑体"/>
                <w:bCs/>
                <w:sz w:val="21"/>
                <w:szCs w:val="21"/>
              </w:rPr>
            </w:pPr>
            <w:r>
              <w:rPr>
                <w:rFonts w:hint="eastAsia" w:ascii="黑体" w:hAnsi="黑体" w:eastAsia="黑体"/>
                <w:bCs/>
                <w:sz w:val="21"/>
                <w:szCs w:val="21"/>
              </w:rPr>
              <w:t>课</w:t>
            </w:r>
          </w:p>
          <w:p w14:paraId="7CB87F1B">
            <w:pPr>
              <w:widowControl w:val="0"/>
              <w:snapToGrid w:val="0"/>
              <w:ind w:right="-120"/>
              <w:jc w:val="center"/>
              <w:rPr>
                <w:rFonts w:ascii="黑体" w:hAnsi="黑体" w:eastAsia="黑体"/>
                <w:bCs/>
                <w:sz w:val="21"/>
                <w:szCs w:val="21"/>
              </w:rPr>
            </w:pPr>
            <w:r>
              <w:rPr>
                <w:rFonts w:hint="eastAsia" w:ascii="黑体" w:hAnsi="黑体" w:eastAsia="黑体"/>
                <w:bCs/>
                <w:sz w:val="21"/>
                <w:szCs w:val="21"/>
              </w:rPr>
              <w:t>程</w:t>
            </w:r>
          </w:p>
          <w:p w14:paraId="390E5D7C">
            <w:pPr>
              <w:widowControl w:val="0"/>
              <w:snapToGrid w:val="0"/>
              <w:ind w:right="-120"/>
              <w:jc w:val="center"/>
              <w:rPr>
                <w:rFonts w:ascii="黑体" w:hAnsi="黑体" w:eastAsia="黑体"/>
                <w:bCs/>
                <w:sz w:val="21"/>
                <w:szCs w:val="21"/>
              </w:rPr>
            </w:pPr>
            <w:r>
              <w:rPr>
                <w:rFonts w:hint="eastAsia" w:ascii="黑体" w:hAnsi="黑体" w:eastAsia="黑体"/>
                <w:bCs/>
                <w:sz w:val="21"/>
                <w:szCs w:val="21"/>
              </w:rPr>
              <w:t>目</w:t>
            </w:r>
          </w:p>
          <w:p w14:paraId="61603067">
            <w:pPr>
              <w:widowControl w:val="0"/>
              <w:snapToGrid w:val="0"/>
              <w:ind w:right="-120"/>
              <w:jc w:val="center"/>
              <w:rPr>
                <w:rFonts w:ascii="黑体" w:hAnsi="黑体" w:eastAsia="黑体"/>
                <w:bCs/>
                <w:sz w:val="21"/>
                <w:szCs w:val="21"/>
              </w:rPr>
            </w:pPr>
            <w:r>
              <w:rPr>
                <w:rFonts w:hint="eastAsia" w:ascii="黑体" w:hAnsi="黑体" w:eastAsia="黑体"/>
                <w:bCs/>
                <w:sz w:val="21"/>
                <w:szCs w:val="21"/>
              </w:rPr>
              <w:t>标</w:t>
            </w:r>
          </w:p>
        </w:tc>
        <w:tc>
          <w:tcPr>
            <w:tcW w:w="1752" w:type="dxa"/>
            <w:vMerge w:val="restart"/>
            <w:vAlign w:val="center"/>
          </w:tcPr>
          <w:p w14:paraId="04110C7F">
            <w:pPr>
              <w:widowControl w:val="0"/>
              <w:snapToGrid w:val="0"/>
              <w:ind w:right="-120"/>
              <w:jc w:val="center"/>
              <w:rPr>
                <w:rFonts w:ascii="黑体" w:hAnsi="黑体" w:eastAsia="黑体"/>
                <w:bCs/>
                <w:sz w:val="21"/>
                <w:szCs w:val="21"/>
              </w:rPr>
            </w:pPr>
            <w:r>
              <w:rPr>
                <w:rFonts w:hint="eastAsia" w:ascii="黑体" w:hAnsi="黑体" w:eastAsia="黑体"/>
                <w:bCs/>
                <w:sz w:val="21"/>
                <w:szCs w:val="21"/>
              </w:rPr>
              <w:t>考核要求</w:t>
            </w:r>
          </w:p>
        </w:tc>
        <w:tc>
          <w:tcPr>
            <w:tcW w:w="5619" w:type="dxa"/>
            <w:gridSpan w:val="4"/>
            <w:vAlign w:val="center"/>
          </w:tcPr>
          <w:p w14:paraId="70772D2A">
            <w:pPr>
              <w:pStyle w:val="17"/>
              <w:widowControl w:val="0"/>
              <w:spacing w:line="240" w:lineRule="auto"/>
              <w:ind w:right="-120"/>
              <w:jc w:val="center"/>
              <w:rPr>
                <w:rFonts w:ascii="黑体" w:hAnsi="黑体"/>
                <w:bCs/>
                <w:sz w:val="21"/>
                <w:szCs w:val="21"/>
              </w:rPr>
            </w:pPr>
            <w:r>
              <w:rPr>
                <w:rFonts w:hint="eastAsia" w:ascii="黑体" w:hAnsi="黑体"/>
                <w:bCs/>
                <w:sz w:val="21"/>
                <w:szCs w:val="21"/>
              </w:rPr>
              <w:t>评价标准</w:t>
            </w:r>
          </w:p>
        </w:tc>
      </w:tr>
      <w:tr w14:paraId="04A39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7" w:type="dxa"/>
            <w:vMerge w:val="continue"/>
          </w:tcPr>
          <w:p w14:paraId="0A9A1F99">
            <w:pPr>
              <w:widowControl w:val="0"/>
              <w:snapToGrid w:val="0"/>
              <w:ind w:right="-120"/>
              <w:jc w:val="center"/>
              <w:rPr>
                <w:rFonts w:ascii="黑体" w:hAnsi="黑体" w:eastAsia="黑体"/>
                <w:bCs/>
                <w:sz w:val="21"/>
                <w:szCs w:val="21"/>
              </w:rPr>
            </w:pPr>
          </w:p>
        </w:tc>
        <w:tc>
          <w:tcPr>
            <w:tcW w:w="514" w:type="dxa"/>
            <w:vMerge w:val="continue"/>
          </w:tcPr>
          <w:p w14:paraId="0FD4C821">
            <w:pPr>
              <w:pStyle w:val="17"/>
              <w:widowControl w:val="0"/>
              <w:ind w:right="-120"/>
              <w:jc w:val="both"/>
              <w:rPr>
                <w:rFonts w:ascii="黑体" w:hAnsi="黑体"/>
                <w:bCs/>
                <w:sz w:val="21"/>
                <w:szCs w:val="21"/>
              </w:rPr>
            </w:pPr>
          </w:p>
        </w:tc>
        <w:tc>
          <w:tcPr>
            <w:tcW w:w="1752" w:type="dxa"/>
            <w:vMerge w:val="continue"/>
          </w:tcPr>
          <w:p w14:paraId="378AC6B5">
            <w:pPr>
              <w:pStyle w:val="17"/>
              <w:widowControl w:val="0"/>
              <w:ind w:right="-120"/>
              <w:jc w:val="both"/>
              <w:rPr>
                <w:rFonts w:ascii="黑体" w:hAnsi="黑体"/>
                <w:bCs/>
                <w:sz w:val="21"/>
                <w:szCs w:val="21"/>
              </w:rPr>
            </w:pPr>
          </w:p>
        </w:tc>
        <w:tc>
          <w:tcPr>
            <w:tcW w:w="1290" w:type="dxa"/>
            <w:vAlign w:val="center"/>
          </w:tcPr>
          <w:p w14:paraId="7E3C06A6">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优</w:t>
            </w:r>
          </w:p>
          <w:p w14:paraId="37103325">
            <w:pPr>
              <w:widowControl w:val="0"/>
              <w:snapToGrid w:val="0"/>
              <w:ind w:right="-120"/>
              <w:jc w:val="center"/>
              <w:rPr>
                <w:rFonts w:ascii="Arial" w:hAnsi="Arial" w:eastAsia="黑体" w:cs="Arial"/>
                <w:bCs/>
                <w:sz w:val="21"/>
                <w:szCs w:val="21"/>
              </w:rPr>
            </w:pPr>
            <w:r>
              <w:rPr>
                <w:rFonts w:ascii="Arial" w:hAnsi="Arial" w:eastAsia="黑体" w:cs="Arial"/>
                <w:bCs/>
                <w:sz w:val="21"/>
                <w:szCs w:val="21"/>
              </w:rPr>
              <w:t>100-90</w:t>
            </w:r>
          </w:p>
        </w:tc>
        <w:tc>
          <w:tcPr>
            <w:tcW w:w="1443" w:type="dxa"/>
            <w:vAlign w:val="center"/>
          </w:tcPr>
          <w:p w14:paraId="20AFB13B">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良</w:t>
            </w:r>
          </w:p>
          <w:p w14:paraId="4A1F1A6F">
            <w:pPr>
              <w:widowControl w:val="0"/>
              <w:snapToGrid w:val="0"/>
              <w:ind w:right="-120"/>
              <w:jc w:val="center"/>
              <w:rPr>
                <w:rFonts w:ascii="Arial" w:hAnsi="Arial" w:eastAsia="黑体" w:cs="Arial"/>
                <w:bCs/>
                <w:sz w:val="21"/>
                <w:szCs w:val="21"/>
              </w:rPr>
            </w:pPr>
            <w:r>
              <w:rPr>
                <w:rFonts w:ascii="Arial" w:hAnsi="Arial" w:eastAsia="黑体" w:cs="Arial"/>
                <w:bCs/>
                <w:sz w:val="21"/>
                <w:szCs w:val="21"/>
              </w:rPr>
              <w:t>89-75</w:t>
            </w:r>
          </w:p>
        </w:tc>
        <w:tc>
          <w:tcPr>
            <w:tcW w:w="1443" w:type="dxa"/>
            <w:vAlign w:val="center"/>
          </w:tcPr>
          <w:p w14:paraId="6CFA7D3A">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中</w:t>
            </w:r>
          </w:p>
          <w:p w14:paraId="72460738">
            <w:pPr>
              <w:widowControl w:val="0"/>
              <w:snapToGrid w:val="0"/>
              <w:ind w:right="-120"/>
              <w:jc w:val="center"/>
              <w:rPr>
                <w:rFonts w:ascii="Arial" w:hAnsi="Arial" w:eastAsia="黑体" w:cs="Arial"/>
                <w:bCs/>
                <w:sz w:val="21"/>
                <w:szCs w:val="21"/>
              </w:rPr>
            </w:pPr>
            <w:r>
              <w:rPr>
                <w:rFonts w:ascii="Arial" w:hAnsi="Arial" w:eastAsia="黑体" w:cs="Arial"/>
                <w:bCs/>
                <w:sz w:val="21"/>
                <w:szCs w:val="21"/>
              </w:rPr>
              <w:t>74-60</w:t>
            </w:r>
          </w:p>
        </w:tc>
        <w:tc>
          <w:tcPr>
            <w:tcW w:w="1443" w:type="dxa"/>
            <w:vAlign w:val="center"/>
          </w:tcPr>
          <w:p w14:paraId="347AB996">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不及格</w:t>
            </w:r>
          </w:p>
          <w:p w14:paraId="1766453B">
            <w:pPr>
              <w:widowControl w:val="0"/>
              <w:snapToGrid w:val="0"/>
              <w:ind w:right="-120"/>
              <w:jc w:val="center"/>
              <w:rPr>
                <w:rFonts w:ascii="Arial" w:hAnsi="Arial" w:eastAsia="黑体" w:cs="Arial"/>
                <w:bCs/>
                <w:sz w:val="21"/>
                <w:szCs w:val="21"/>
              </w:rPr>
            </w:pPr>
            <w:r>
              <w:rPr>
                <w:rFonts w:ascii="Arial" w:hAnsi="Arial" w:eastAsia="黑体" w:cs="Arial"/>
                <w:bCs/>
                <w:sz w:val="21"/>
                <w:szCs w:val="21"/>
              </w:rPr>
              <w:t>59-0</w:t>
            </w:r>
          </w:p>
        </w:tc>
      </w:tr>
      <w:tr w14:paraId="593CE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5C6F7505">
            <w:pPr>
              <w:widowControl w:val="0"/>
              <w:snapToGrid w:val="0"/>
              <w:ind w:right="-120"/>
              <w:jc w:val="center"/>
              <w:rPr>
                <w:rFonts w:ascii="Arial" w:hAnsi="Arial" w:eastAsia="黑体" w:cs="Arial"/>
                <w:bCs/>
                <w:sz w:val="21"/>
                <w:szCs w:val="21"/>
              </w:rPr>
            </w:pPr>
            <w:r>
              <w:rPr>
                <w:rFonts w:ascii="Arial" w:hAnsi="Arial" w:eastAsia="黑体" w:cs="Arial"/>
                <w:bCs/>
                <w:sz w:val="21"/>
                <w:szCs w:val="21"/>
              </w:rPr>
              <w:t>1</w:t>
            </w:r>
          </w:p>
        </w:tc>
        <w:tc>
          <w:tcPr>
            <w:tcW w:w="514" w:type="dxa"/>
            <w:vAlign w:val="center"/>
          </w:tcPr>
          <w:p w14:paraId="0F7AA7B2">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1</w:t>
            </w:r>
          </w:p>
        </w:tc>
        <w:tc>
          <w:tcPr>
            <w:tcW w:w="1752" w:type="dxa"/>
          </w:tcPr>
          <w:p w14:paraId="06530F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能理解并正确运用健康教育和健康促进的方法。</w:t>
            </w:r>
          </w:p>
        </w:tc>
        <w:tc>
          <w:tcPr>
            <w:tcW w:w="1290" w:type="dxa"/>
          </w:tcPr>
          <w:p w14:paraId="3E769BBC">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在试卷中，对各知识单元的掌握程度全面达到预期学习结果，错误率在10%以下。</w:t>
            </w:r>
          </w:p>
        </w:tc>
        <w:tc>
          <w:tcPr>
            <w:tcW w:w="1443" w:type="dxa"/>
          </w:tcPr>
          <w:p w14:paraId="594EC312">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在试卷中，对各知识单元的掌握程度全面达到预期学习结果，错误率在20%左右。</w:t>
            </w:r>
          </w:p>
        </w:tc>
        <w:tc>
          <w:tcPr>
            <w:tcW w:w="1443" w:type="dxa"/>
          </w:tcPr>
          <w:p w14:paraId="29233494">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在试卷中，对各知识单元的掌握程度全面达到预期学习结果，错误率在30%左右。</w:t>
            </w:r>
          </w:p>
        </w:tc>
        <w:tc>
          <w:tcPr>
            <w:tcW w:w="1443" w:type="dxa"/>
          </w:tcPr>
          <w:p w14:paraId="26069AF7">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在试卷中，对各知识单元的掌握程度全面达到预期学习结果，错误率在40%以上。</w:t>
            </w:r>
          </w:p>
        </w:tc>
      </w:tr>
      <w:tr w14:paraId="4796D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64D06970">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1</w:t>
            </w:r>
          </w:p>
        </w:tc>
        <w:tc>
          <w:tcPr>
            <w:tcW w:w="514" w:type="dxa"/>
            <w:vAlign w:val="center"/>
          </w:tcPr>
          <w:p w14:paraId="6D72B64E">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3</w:t>
            </w:r>
          </w:p>
        </w:tc>
        <w:tc>
          <w:tcPr>
            <w:tcW w:w="1752" w:type="dxa"/>
          </w:tcPr>
          <w:p w14:paraId="630AD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掌握运用健康教育学的六个理论（个体、群体和社区三</w:t>
            </w:r>
          </w:p>
          <w:p w14:paraId="138EE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个层面）；运用理</w:t>
            </w:r>
          </w:p>
          <w:p w14:paraId="38D704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论分析解读现实生活中的案例；并提出适当的健康教育策略。</w:t>
            </w:r>
          </w:p>
        </w:tc>
        <w:tc>
          <w:tcPr>
            <w:tcW w:w="1290" w:type="dxa"/>
          </w:tcPr>
          <w:p w14:paraId="125D474D">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知识及概念掌握全面，运用得当；分析过程正确、完整，逻辑性强，答案正确率超过90%，书写工整，清晰。</w:t>
            </w:r>
          </w:p>
        </w:tc>
        <w:tc>
          <w:tcPr>
            <w:tcW w:w="1443" w:type="dxa"/>
          </w:tcPr>
          <w:p w14:paraId="336D1667">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知识及概念掌握较为全面，能够运用；分析过程基本正确、完整，答案正确率超过75%。</w:t>
            </w:r>
          </w:p>
        </w:tc>
        <w:tc>
          <w:tcPr>
            <w:tcW w:w="1443" w:type="dxa"/>
          </w:tcPr>
          <w:p w14:paraId="4181E5EF">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知识及概念掌握程度一般，不能正确运用；分析过程中存在错误，答案正确率超过60%。</w:t>
            </w:r>
          </w:p>
        </w:tc>
        <w:tc>
          <w:tcPr>
            <w:tcW w:w="1443" w:type="dxa"/>
          </w:tcPr>
          <w:p w14:paraId="7F5FA6F6">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没有掌握知识及概念，不会运用基本原理和法；分析过程错误且不完整，答案正确率低于60%。</w:t>
            </w:r>
          </w:p>
        </w:tc>
      </w:tr>
      <w:tr w14:paraId="0E80A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5ECE8D81">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1</w:t>
            </w:r>
          </w:p>
        </w:tc>
        <w:tc>
          <w:tcPr>
            <w:tcW w:w="514" w:type="dxa"/>
            <w:vAlign w:val="center"/>
          </w:tcPr>
          <w:p w14:paraId="790727CD">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4</w:t>
            </w:r>
          </w:p>
        </w:tc>
        <w:tc>
          <w:tcPr>
            <w:tcW w:w="1752" w:type="dxa"/>
          </w:tcPr>
          <w:p w14:paraId="617C9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掌握适当的健康教育方法；设计健康教育方案；根据老年人的生理、心理和社会特点，采用适当的健康教育策略和内容。</w:t>
            </w:r>
          </w:p>
        </w:tc>
        <w:tc>
          <w:tcPr>
            <w:tcW w:w="1290" w:type="dxa"/>
          </w:tcPr>
          <w:p w14:paraId="3F0DD920">
            <w:pPr>
              <w:pStyle w:val="15"/>
              <w:widowControl w:val="0"/>
              <w:ind w:right="-120"/>
              <w:jc w:val="left"/>
            </w:pPr>
            <w:r>
              <w:rPr>
                <w:rFonts w:hint="eastAsia" w:ascii="Helvetica" w:hAnsi="Helvetica" w:cs="Helvetica" w:eastAsiaTheme="minorEastAsia"/>
                <w:sz w:val="19"/>
                <w:szCs w:val="19"/>
              </w:rPr>
              <w:t>知识及概念掌握全面，运用得当；分析过程正确、完整，逻辑性强，答案正确率超过90%，书写工整，清晰。</w:t>
            </w:r>
          </w:p>
        </w:tc>
        <w:tc>
          <w:tcPr>
            <w:tcW w:w="1443" w:type="dxa"/>
          </w:tcPr>
          <w:p w14:paraId="0FA52DF9">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知识及概念掌握较为全面，能够运用；分析过程基本正确、完整，答案正确率超过75%。</w:t>
            </w:r>
          </w:p>
        </w:tc>
        <w:tc>
          <w:tcPr>
            <w:tcW w:w="1443" w:type="dxa"/>
          </w:tcPr>
          <w:p w14:paraId="7D5307E0">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知识及概念掌握程度一般，不能正确运用；分析过程中存在错误，答案正确率超过60%。</w:t>
            </w:r>
          </w:p>
        </w:tc>
        <w:tc>
          <w:tcPr>
            <w:tcW w:w="1443" w:type="dxa"/>
          </w:tcPr>
          <w:p w14:paraId="55A16850">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没有掌握知识及概念，不会运用基本原理和法；分析过程错误且不完整，答案正确率低于60%。</w:t>
            </w:r>
          </w:p>
        </w:tc>
      </w:tr>
      <w:tr w14:paraId="3A826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08412FBC">
            <w:pPr>
              <w:widowControl w:val="0"/>
              <w:snapToGrid w:val="0"/>
              <w:ind w:right="-120"/>
              <w:jc w:val="center"/>
              <w:rPr>
                <w:rFonts w:ascii="Arial" w:hAnsi="Arial" w:eastAsia="黑体" w:cs="Arial"/>
                <w:bCs/>
                <w:sz w:val="21"/>
                <w:szCs w:val="21"/>
              </w:rPr>
            </w:pPr>
            <w:r>
              <w:rPr>
                <w:rFonts w:ascii="Arial" w:hAnsi="Arial" w:eastAsia="黑体" w:cs="Arial"/>
                <w:bCs/>
                <w:sz w:val="21"/>
                <w:szCs w:val="21"/>
              </w:rPr>
              <w:t>X1</w:t>
            </w:r>
          </w:p>
        </w:tc>
        <w:tc>
          <w:tcPr>
            <w:tcW w:w="514" w:type="dxa"/>
            <w:vAlign w:val="center"/>
          </w:tcPr>
          <w:p w14:paraId="2F51BBDF">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2</w:t>
            </w:r>
          </w:p>
        </w:tc>
        <w:tc>
          <w:tcPr>
            <w:tcW w:w="1752" w:type="dxa"/>
            <w:vAlign w:val="center"/>
          </w:tcPr>
          <w:p w14:paraId="4BA0B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熟练</w:t>
            </w:r>
            <w:r>
              <w:rPr>
                <w:rFonts w:ascii="Helvetica" w:hAnsi="Helvetica" w:cs="Helvetica" w:eastAsiaTheme="minorEastAsia"/>
                <w:color w:val="000000"/>
                <w:sz w:val="19"/>
                <w:szCs w:val="19"/>
              </w:rPr>
              <w:t>健康教育的六个基本理论（个体，群体和社区三个层面）</w:t>
            </w:r>
            <w:r>
              <w:rPr>
                <w:rFonts w:hint="eastAsia" w:ascii="Helvetica" w:hAnsi="Helvetica" w:cs="Helvetica" w:eastAsiaTheme="minorEastAsia"/>
                <w:color w:val="000000"/>
                <w:sz w:val="19"/>
                <w:szCs w:val="19"/>
              </w:rPr>
              <w:t>的核心概念和</w:t>
            </w:r>
          </w:p>
          <w:p w14:paraId="2BB5E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基本框架，提出相</w:t>
            </w:r>
          </w:p>
          <w:p w14:paraId="0A5AE7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hint="eastAsia" w:ascii="Helvetica" w:hAnsi="Helvetica" w:cs="Helvetica" w:eastAsiaTheme="minorEastAsia"/>
                <w:color w:val="000000"/>
                <w:sz w:val="19"/>
                <w:szCs w:val="19"/>
                <w:lang w:eastAsia="zh-CN"/>
              </w:rPr>
            </w:pPr>
            <w:r>
              <w:rPr>
                <w:rFonts w:hint="eastAsia" w:ascii="Helvetica" w:hAnsi="Helvetica" w:cs="Helvetica" w:eastAsiaTheme="minorEastAsia"/>
                <w:color w:val="000000"/>
                <w:sz w:val="19"/>
                <w:szCs w:val="19"/>
              </w:rPr>
              <w:t>应的干预策略</w:t>
            </w:r>
            <w:r>
              <w:rPr>
                <w:rFonts w:hint="eastAsia" w:ascii="Helvetica" w:hAnsi="Helvetica" w:cs="Helvetica" w:eastAsiaTheme="minorEastAsia"/>
                <w:color w:val="000000"/>
                <w:sz w:val="19"/>
                <w:szCs w:val="19"/>
                <w:lang w:eastAsia="zh-CN"/>
              </w:rPr>
              <w:t>。</w:t>
            </w:r>
          </w:p>
        </w:tc>
        <w:tc>
          <w:tcPr>
            <w:tcW w:w="1290" w:type="dxa"/>
            <w:vAlign w:val="center"/>
          </w:tcPr>
          <w:p w14:paraId="5BF7C9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知识及概念掌握全面，运用得当；分析过程正确、完整，逻辑性强，答案正确率超过90%，书写工整，清晰。</w:t>
            </w:r>
          </w:p>
        </w:tc>
        <w:tc>
          <w:tcPr>
            <w:tcW w:w="1443" w:type="dxa"/>
            <w:vAlign w:val="center"/>
          </w:tcPr>
          <w:p w14:paraId="07394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知识及概念掌握较为全面，能够运用；分析过程基本正确、完整，答案正确率超过75%。</w:t>
            </w:r>
          </w:p>
        </w:tc>
        <w:tc>
          <w:tcPr>
            <w:tcW w:w="1443" w:type="dxa"/>
            <w:vAlign w:val="center"/>
          </w:tcPr>
          <w:p w14:paraId="15E40B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知识及概念掌握程度一般，不能正确运用；分析过程中存在错误，答案正确率超过60%。</w:t>
            </w:r>
          </w:p>
        </w:tc>
        <w:tc>
          <w:tcPr>
            <w:tcW w:w="1443" w:type="dxa"/>
            <w:vAlign w:val="center"/>
          </w:tcPr>
          <w:p w14:paraId="6EEBDA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没有掌握知识及概念，不会运用基本原理和法；分析过程错误且不完整，答案正确率低于60%。</w:t>
            </w:r>
          </w:p>
        </w:tc>
      </w:tr>
      <w:tr w14:paraId="676EE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349DB100">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X1</w:t>
            </w:r>
          </w:p>
        </w:tc>
        <w:tc>
          <w:tcPr>
            <w:tcW w:w="514" w:type="dxa"/>
            <w:vAlign w:val="center"/>
          </w:tcPr>
          <w:p w14:paraId="6EB42E0E">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5</w:t>
            </w:r>
          </w:p>
        </w:tc>
        <w:tc>
          <w:tcPr>
            <w:tcW w:w="1752" w:type="dxa"/>
            <w:vAlign w:val="center"/>
          </w:tcPr>
          <w:p w14:paraId="14571F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在理解和掌握理论的基础上，提出干预的策略，充分体现以保障和促进大众健康为己任的家国情怀。体现尊老敬老的中国孝文化精神风貌。</w:t>
            </w:r>
          </w:p>
        </w:tc>
        <w:tc>
          <w:tcPr>
            <w:tcW w:w="1290" w:type="dxa"/>
            <w:vAlign w:val="center"/>
          </w:tcPr>
          <w:p w14:paraId="393D7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在掌握理论的基础上，感情饱满，饱含家国情怀，能将尊老爱老的孝文化精髓融入课堂展示中。</w:t>
            </w:r>
          </w:p>
        </w:tc>
        <w:tc>
          <w:tcPr>
            <w:tcW w:w="1443" w:type="dxa"/>
            <w:vAlign w:val="center"/>
          </w:tcPr>
          <w:p w14:paraId="0CD09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在基本掌握理论的基础上，感情饱满，较好地将家国情怀融入课堂展示中。</w:t>
            </w:r>
          </w:p>
        </w:tc>
        <w:tc>
          <w:tcPr>
            <w:tcW w:w="1443" w:type="dxa"/>
            <w:vAlign w:val="center"/>
          </w:tcPr>
          <w:p w14:paraId="179CF5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基本掌握理论，基本能将尊老爱老的孝文化精髓融入课堂展示中。</w:t>
            </w:r>
          </w:p>
        </w:tc>
        <w:tc>
          <w:tcPr>
            <w:tcW w:w="1443" w:type="dxa"/>
            <w:vAlign w:val="center"/>
          </w:tcPr>
          <w:p w14:paraId="14657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理论掌握不充分，基本没有将家国情怀融入课堂展示中。</w:t>
            </w:r>
          </w:p>
        </w:tc>
      </w:tr>
      <w:tr w14:paraId="6F921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78756B6B">
            <w:pPr>
              <w:widowControl w:val="0"/>
              <w:snapToGrid w:val="0"/>
              <w:ind w:right="-120"/>
              <w:jc w:val="center"/>
              <w:rPr>
                <w:rFonts w:ascii="Arial" w:hAnsi="Arial" w:eastAsia="黑体" w:cs="Arial"/>
                <w:bCs/>
                <w:sz w:val="21"/>
                <w:szCs w:val="21"/>
              </w:rPr>
            </w:pPr>
            <w:r>
              <w:rPr>
                <w:rFonts w:ascii="Arial" w:hAnsi="Arial" w:eastAsia="黑体" w:cs="Arial"/>
                <w:bCs/>
                <w:sz w:val="21"/>
                <w:szCs w:val="21"/>
              </w:rPr>
              <w:t>X2</w:t>
            </w:r>
          </w:p>
        </w:tc>
        <w:tc>
          <w:tcPr>
            <w:tcW w:w="514" w:type="dxa"/>
            <w:vAlign w:val="center"/>
          </w:tcPr>
          <w:p w14:paraId="2513E43F">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4</w:t>
            </w:r>
          </w:p>
        </w:tc>
        <w:tc>
          <w:tcPr>
            <w:tcW w:w="1752" w:type="dxa"/>
            <w:vAlign w:val="center"/>
          </w:tcPr>
          <w:p w14:paraId="60E45B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掌握健康教育学的概念、学科性质、研究内容；适当的健康教育方法；设计健康教育方案；根据老年人的生理、心理和社会特点，采用适当的健康教育策略和内容。</w:t>
            </w:r>
          </w:p>
        </w:tc>
        <w:tc>
          <w:tcPr>
            <w:tcW w:w="1290" w:type="dxa"/>
            <w:vAlign w:val="center"/>
          </w:tcPr>
          <w:p w14:paraId="7072E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知识及概念掌握全面，运用得当；分析过程正确、完整，逻辑性强，答案正确率超过90%，书写工整，清晰。</w:t>
            </w:r>
          </w:p>
        </w:tc>
        <w:tc>
          <w:tcPr>
            <w:tcW w:w="1443" w:type="dxa"/>
            <w:vAlign w:val="center"/>
          </w:tcPr>
          <w:p w14:paraId="595965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知识及概念掌握较为全面，能够运用；分析过程基本正确、完整，答案正确率超过75%。</w:t>
            </w:r>
          </w:p>
        </w:tc>
        <w:tc>
          <w:tcPr>
            <w:tcW w:w="1443" w:type="dxa"/>
            <w:vAlign w:val="center"/>
          </w:tcPr>
          <w:p w14:paraId="7F3C2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知识及概念掌握程度一般，不能正确运用；分析过程中存在</w:t>
            </w:r>
            <w:r>
              <w:rPr>
                <w:rFonts w:hint="eastAsia" w:ascii="Helvetica" w:hAnsi="Helvetica" w:cs="Helvetica" w:eastAsiaTheme="minorEastAsia"/>
                <w:color w:val="000000"/>
                <w:sz w:val="19"/>
                <w:szCs w:val="19"/>
                <w:lang w:val="en-US" w:eastAsia="zh-CN"/>
              </w:rPr>
              <w:t>错</w:t>
            </w:r>
            <w:r>
              <w:rPr>
                <w:rFonts w:hint="eastAsia" w:ascii="Helvetica" w:hAnsi="Helvetica" w:cs="Helvetica" w:eastAsiaTheme="minorEastAsia"/>
                <w:color w:val="000000"/>
                <w:sz w:val="19"/>
                <w:szCs w:val="19"/>
              </w:rPr>
              <w:t>误，答案正确率超过60%。</w:t>
            </w:r>
          </w:p>
        </w:tc>
        <w:tc>
          <w:tcPr>
            <w:tcW w:w="1443" w:type="dxa"/>
            <w:vAlign w:val="center"/>
          </w:tcPr>
          <w:p w14:paraId="1C9B77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没有掌握知识及概念，不会运用基本原理和方法；。分析过程错误且不完整，答案正确率低于60%。</w:t>
            </w:r>
          </w:p>
        </w:tc>
      </w:tr>
      <w:tr w14:paraId="71CB7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0021F4B2">
            <w:pPr>
              <w:widowControl w:val="0"/>
              <w:snapToGrid w:val="0"/>
              <w:ind w:right="-120"/>
              <w:jc w:val="center"/>
              <w:rPr>
                <w:rFonts w:ascii="Arial" w:hAnsi="Arial" w:eastAsia="黑体" w:cs="Arial"/>
                <w:bCs/>
                <w:sz w:val="21"/>
                <w:szCs w:val="21"/>
              </w:rPr>
            </w:pPr>
            <w:r>
              <w:rPr>
                <w:rFonts w:ascii="Arial" w:hAnsi="Arial" w:eastAsia="黑体" w:cs="Arial"/>
                <w:bCs/>
                <w:sz w:val="21"/>
                <w:szCs w:val="21"/>
              </w:rPr>
              <w:t>X3</w:t>
            </w:r>
          </w:p>
        </w:tc>
        <w:tc>
          <w:tcPr>
            <w:tcW w:w="514" w:type="dxa"/>
            <w:vAlign w:val="center"/>
          </w:tcPr>
          <w:p w14:paraId="2B831741">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6</w:t>
            </w:r>
          </w:p>
        </w:tc>
        <w:tc>
          <w:tcPr>
            <w:tcW w:w="1752" w:type="dxa"/>
            <w:vAlign w:val="center"/>
          </w:tcPr>
          <w:p w14:paraId="1A4738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firstLine="190" w:firstLineChars="10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养成良好的学习和生活习惯，确立积极的生活态度，从自我做起，做好健康宣教工作。</w:t>
            </w:r>
          </w:p>
        </w:tc>
        <w:tc>
          <w:tcPr>
            <w:tcW w:w="1290" w:type="dxa"/>
            <w:vAlign w:val="center"/>
          </w:tcPr>
          <w:p w14:paraId="18EC20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平时上课不迟到、不旷课、不早退，一学期全勤；遵守课堂规定，课堂上能仔细认真听课，积极和老师互动，积极回答问题，并回答得当。</w:t>
            </w:r>
          </w:p>
        </w:tc>
        <w:tc>
          <w:tcPr>
            <w:tcW w:w="1443" w:type="dxa"/>
            <w:vAlign w:val="center"/>
          </w:tcPr>
          <w:p w14:paraId="5AEE36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平时上课不迟到、不旷课、不早退，一学期基本全勤；基本遵守课堂规定，课堂上能仔细认真听课，能与老师互动；对老师提出的问题能做出回答。</w:t>
            </w:r>
          </w:p>
        </w:tc>
        <w:tc>
          <w:tcPr>
            <w:tcW w:w="1443" w:type="dxa"/>
            <w:vAlign w:val="center"/>
          </w:tcPr>
          <w:p w14:paraId="0298FB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平时上课不迟到、不旷课、不早退，一学期基本全勤；基遵守课堂规定；对老师提出的问题在老师的提问下，基本能做出回答。</w:t>
            </w:r>
          </w:p>
        </w:tc>
        <w:tc>
          <w:tcPr>
            <w:tcW w:w="1443" w:type="dxa"/>
            <w:vAlign w:val="center"/>
          </w:tcPr>
          <w:p w14:paraId="498A0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一学期请假次数在5次以内，基本能遵守课堂规定；不能对老师提出的问题给出积极主动的回答。</w:t>
            </w:r>
          </w:p>
        </w:tc>
      </w:tr>
    </w:tbl>
    <w:p w14:paraId="7B24CC5D">
      <w:pPr>
        <w:pStyle w:val="17"/>
        <w:spacing w:before="326" w:beforeLines="100" w:line="360" w:lineRule="auto"/>
        <w:ind w:right="-120"/>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74CD8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B858154">
            <w:pPr>
              <w:pStyle w:val="15"/>
              <w:widowControl w:val="0"/>
              <w:ind w:right="-120"/>
              <w:jc w:val="left"/>
              <w:rPr>
                <w:rFonts w:cs="仿宋" w:asciiTheme="minorEastAsia" w:hAnsiTheme="minorEastAsia" w:eastAsiaTheme="minorEastAsia"/>
              </w:rPr>
            </w:pPr>
          </w:p>
          <w:p w14:paraId="4F2921DA">
            <w:pPr>
              <w:pStyle w:val="15"/>
              <w:widowControl w:val="0"/>
              <w:ind w:right="-120"/>
              <w:jc w:val="left"/>
              <w:rPr>
                <w:rFonts w:cs="仿宋" w:asciiTheme="minorEastAsia" w:hAnsiTheme="minorEastAsia" w:eastAsiaTheme="minorEastAsia"/>
              </w:rPr>
            </w:pPr>
            <w:r>
              <w:rPr>
                <w:rFonts w:cs="仿宋" w:asciiTheme="minorEastAsia" w:hAnsiTheme="minorEastAsia" w:eastAsiaTheme="minorEastAsia"/>
              </w:rPr>
              <w:t>无</w:t>
            </w:r>
          </w:p>
          <w:p w14:paraId="63B95AF8">
            <w:pPr>
              <w:pStyle w:val="15"/>
              <w:widowControl w:val="0"/>
              <w:ind w:right="-120"/>
              <w:jc w:val="left"/>
              <w:rPr>
                <w:rFonts w:hint="eastAsia" w:cs="仿宋" w:asciiTheme="minorEastAsia" w:hAnsiTheme="minorEastAsia" w:eastAsiaTheme="minorEastAsia"/>
              </w:rPr>
            </w:pPr>
          </w:p>
        </w:tc>
      </w:tr>
    </w:tbl>
    <w:p w14:paraId="6BCFD1D2">
      <w:pPr>
        <w:pStyle w:val="17"/>
        <w:ind w:right="-120"/>
        <w:rPr>
          <w:rFonts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468080"/>
    </w:sdtPr>
    <w:sdtContent>
      <w:p w14:paraId="3B846810">
        <w:pPr>
          <w:pStyle w:val="5"/>
          <w:ind w:right="-120"/>
          <w:jc w:val="center"/>
        </w:pPr>
        <w:r>
          <w:fldChar w:fldCharType="begin"/>
        </w:r>
        <w:r>
          <w:instrText xml:space="preserve">PAGE   \* MERGEFORMAT</w:instrText>
        </w:r>
        <w:r>
          <w:fldChar w:fldCharType="separate"/>
        </w:r>
        <w:r>
          <w:rPr>
            <w:lang w:val="zh-CN"/>
          </w:rPr>
          <w:t>15</w:t>
        </w:r>
        <w:r>
          <w:fldChar w:fldCharType="end"/>
        </w:r>
      </w:p>
    </w:sdtContent>
  </w:sdt>
  <w:p w14:paraId="118B4AAD">
    <w:pPr>
      <w:pStyle w:val="5"/>
      <w:ind w:right="-120"/>
    </w:pPr>
  </w:p>
  <w:p w14:paraId="1A55C82B">
    <w:pPr>
      <w:ind w:right="-120"/>
    </w:pPr>
  </w:p>
  <w:p w14:paraId="58716E69">
    <w:pPr>
      <w:ind w:right="-120"/>
    </w:pPr>
  </w:p>
  <w:p w14:paraId="786E9A7A">
    <w:pPr>
      <w:ind w:right="-120"/>
    </w:pPr>
  </w:p>
  <w:p w14:paraId="7FE47112">
    <w:pPr>
      <w:ind w:right="-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6F67">
    <w:pPr>
      <w:ind w:right="-120"/>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F7CEF7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F7CEF7B">
                    <w:pPr>
                      <w:rPr>
                        <w:rFonts w:ascii="Times New Roman" w:hAnsi="Times New Roman"/>
                      </w:rPr>
                    </w:pPr>
                    <w:r>
                      <w:rPr>
                        <w:rFonts w:ascii="Times New Roman" w:hAnsi="Times New Roman"/>
                      </w:rPr>
                      <w:t>SJQU-QR-JW-055（A0）</w:t>
                    </w:r>
                  </w:p>
                </w:txbxContent>
              </v:textbox>
            </v:shape>
          </w:pict>
        </mc:Fallback>
      </mc:AlternateContent>
    </w:r>
  </w:p>
  <w:p w14:paraId="754EDB31">
    <w:pPr>
      <w:ind w:right="-120"/>
    </w:pPr>
  </w:p>
  <w:p w14:paraId="5E9B7338">
    <w:pPr>
      <w:ind w:right="-120"/>
    </w:pPr>
  </w:p>
  <w:p w14:paraId="672F809E">
    <w:pPr>
      <w:ind w:right="-120"/>
    </w:pPr>
  </w:p>
  <w:p w14:paraId="6EB69332">
    <w:pPr>
      <w:ind w:right="-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98E42"/>
    <w:multiLevelType w:val="singleLevel"/>
    <w:tmpl w:val="CA598E42"/>
    <w:lvl w:ilvl="0" w:tentative="0">
      <w:start w:val="2"/>
      <w:numFmt w:val="decimal"/>
      <w:suff w:val="nothing"/>
      <w:lvlText w:val="%1、"/>
      <w:lvlJc w:val="left"/>
    </w:lvl>
  </w:abstractNum>
  <w:abstractNum w:abstractNumId="1">
    <w:nsid w:val="E9B2FE24"/>
    <w:multiLevelType w:val="singleLevel"/>
    <w:tmpl w:val="E9B2FE24"/>
    <w:lvl w:ilvl="0" w:tentative="0">
      <w:start w:val="6"/>
      <w:numFmt w:val="decimal"/>
      <w:suff w:val="nothing"/>
      <w:lvlText w:val="%1、"/>
      <w:lvlJc w:val="left"/>
    </w:lvl>
  </w:abstractNum>
  <w:abstractNum w:abstractNumId="2">
    <w:nsid w:val="FF4CA45B"/>
    <w:multiLevelType w:val="singleLevel"/>
    <w:tmpl w:val="FF4CA45B"/>
    <w:lvl w:ilvl="0" w:tentative="0">
      <w:start w:val="1"/>
      <w:numFmt w:val="chineseCounting"/>
      <w:suff w:val="nothing"/>
      <w:lvlText w:val="%1、"/>
      <w:lvlJc w:val="left"/>
      <w:rPr>
        <w:rFonts w:hint="eastAsia"/>
      </w:rPr>
    </w:lvl>
  </w:abstractNum>
  <w:abstractNum w:abstractNumId="3">
    <w:nsid w:val="126BE821"/>
    <w:multiLevelType w:val="singleLevel"/>
    <w:tmpl w:val="126BE821"/>
    <w:lvl w:ilvl="0" w:tentative="0">
      <w:start w:val="3"/>
      <w:numFmt w:val="decimal"/>
      <w:suff w:val="nothing"/>
      <w:lvlText w:val="%1、"/>
      <w:lvlJc w:val="left"/>
    </w:lvl>
  </w:abstractNum>
  <w:abstractNum w:abstractNumId="4">
    <w:nsid w:val="14B2937B"/>
    <w:multiLevelType w:val="singleLevel"/>
    <w:tmpl w:val="14B2937B"/>
    <w:lvl w:ilvl="0" w:tentative="0">
      <w:start w:val="4"/>
      <w:numFmt w:val="decimal"/>
      <w:suff w:val="nothing"/>
      <w:lvlText w:val="%1、"/>
      <w:lvlJc w:val="left"/>
    </w:lvl>
  </w:abstractNum>
  <w:abstractNum w:abstractNumId="5">
    <w:nsid w:val="632D7274"/>
    <w:multiLevelType w:val="multilevel"/>
    <w:tmpl w:val="632D7274"/>
    <w:lvl w:ilvl="0" w:tentative="0">
      <w:start w:val="2"/>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B7651F"/>
    <w:rsid w:val="000203E0"/>
    <w:rsid w:val="000210E0"/>
    <w:rsid w:val="00033082"/>
    <w:rsid w:val="00044088"/>
    <w:rsid w:val="00052A18"/>
    <w:rsid w:val="00053590"/>
    <w:rsid w:val="0006001D"/>
    <w:rsid w:val="00062903"/>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54D89"/>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57A0"/>
    <w:rsid w:val="00217861"/>
    <w:rsid w:val="002204E4"/>
    <w:rsid w:val="002211BF"/>
    <w:rsid w:val="00227B92"/>
    <w:rsid w:val="00233F15"/>
    <w:rsid w:val="002420F1"/>
    <w:rsid w:val="00253AC8"/>
    <w:rsid w:val="00256B39"/>
    <w:rsid w:val="0026033C"/>
    <w:rsid w:val="0027339A"/>
    <w:rsid w:val="00274E82"/>
    <w:rsid w:val="002757AB"/>
    <w:rsid w:val="00275F15"/>
    <w:rsid w:val="0027777C"/>
    <w:rsid w:val="00277FE7"/>
    <w:rsid w:val="002877FA"/>
    <w:rsid w:val="00290962"/>
    <w:rsid w:val="0029110B"/>
    <w:rsid w:val="002A4649"/>
    <w:rsid w:val="002A5AB6"/>
    <w:rsid w:val="002A7227"/>
    <w:rsid w:val="002B0773"/>
    <w:rsid w:val="002B0C48"/>
    <w:rsid w:val="002B13CA"/>
    <w:rsid w:val="002B3650"/>
    <w:rsid w:val="002B7322"/>
    <w:rsid w:val="002C58B6"/>
    <w:rsid w:val="002D0E86"/>
    <w:rsid w:val="002D7C47"/>
    <w:rsid w:val="002E0846"/>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367F3"/>
    <w:rsid w:val="00340439"/>
    <w:rsid w:val="00344EF2"/>
    <w:rsid w:val="00347EB8"/>
    <w:rsid w:val="00347F80"/>
    <w:rsid w:val="00353F74"/>
    <w:rsid w:val="003557DE"/>
    <w:rsid w:val="00361BEB"/>
    <w:rsid w:val="00370184"/>
    <w:rsid w:val="00373642"/>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00EE"/>
    <w:rsid w:val="003F3923"/>
    <w:rsid w:val="003F43F6"/>
    <w:rsid w:val="004019DB"/>
    <w:rsid w:val="00402B67"/>
    <w:rsid w:val="00403C91"/>
    <w:rsid w:val="0040433E"/>
    <w:rsid w:val="00404974"/>
    <w:rsid w:val="0040726A"/>
    <w:rsid w:val="004100B0"/>
    <w:rsid w:val="0041267F"/>
    <w:rsid w:val="00424BA5"/>
    <w:rsid w:val="00425431"/>
    <w:rsid w:val="00431829"/>
    <w:rsid w:val="00431836"/>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420B"/>
    <w:rsid w:val="004F3DF0"/>
    <w:rsid w:val="005074E1"/>
    <w:rsid w:val="005126F1"/>
    <w:rsid w:val="00513F2F"/>
    <w:rsid w:val="0051612A"/>
    <w:rsid w:val="00517176"/>
    <w:rsid w:val="0052192E"/>
    <w:rsid w:val="00524300"/>
    <w:rsid w:val="00527ADB"/>
    <w:rsid w:val="00534F7C"/>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5CA7"/>
    <w:rsid w:val="00595F51"/>
    <w:rsid w:val="00597EC2"/>
    <w:rsid w:val="005A13AB"/>
    <w:rsid w:val="005B1150"/>
    <w:rsid w:val="005B1FFC"/>
    <w:rsid w:val="005B2B6D"/>
    <w:rsid w:val="005B4B4E"/>
    <w:rsid w:val="005C3A76"/>
    <w:rsid w:val="005D5B6F"/>
    <w:rsid w:val="005E38A5"/>
    <w:rsid w:val="005F5185"/>
    <w:rsid w:val="00616192"/>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3301"/>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690A"/>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5166D"/>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AD9"/>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6735"/>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B609E"/>
    <w:rsid w:val="00BC14BF"/>
    <w:rsid w:val="00BC2625"/>
    <w:rsid w:val="00BC3200"/>
    <w:rsid w:val="00BC338A"/>
    <w:rsid w:val="00BC57CD"/>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36B0"/>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7C11"/>
    <w:rsid w:val="00D15595"/>
    <w:rsid w:val="00D343A8"/>
    <w:rsid w:val="00D37832"/>
    <w:rsid w:val="00D44860"/>
    <w:rsid w:val="00D47689"/>
    <w:rsid w:val="00D50C42"/>
    <w:rsid w:val="00D57CF5"/>
    <w:rsid w:val="00D612BC"/>
    <w:rsid w:val="00D62F98"/>
    <w:rsid w:val="00D66FD6"/>
    <w:rsid w:val="00D707EA"/>
    <w:rsid w:val="00D72FB9"/>
    <w:rsid w:val="00D8285B"/>
    <w:rsid w:val="00D8323F"/>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B7F42"/>
    <w:rsid w:val="00EC70A9"/>
    <w:rsid w:val="00ED4C3A"/>
    <w:rsid w:val="00EE1C85"/>
    <w:rsid w:val="00EE205C"/>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0AE1"/>
    <w:rsid w:val="00F910A0"/>
    <w:rsid w:val="00F96236"/>
    <w:rsid w:val="00F96668"/>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1E6547"/>
    <w:rsid w:val="02225B04"/>
    <w:rsid w:val="022B2C0A"/>
    <w:rsid w:val="024B0C39"/>
    <w:rsid w:val="02713106"/>
    <w:rsid w:val="028D7421"/>
    <w:rsid w:val="02B86932"/>
    <w:rsid w:val="02BD4A75"/>
    <w:rsid w:val="02D45050"/>
    <w:rsid w:val="02DF2048"/>
    <w:rsid w:val="02F12D31"/>
    <w:rsid w:val="03802AE2"/>
    <w:rsid w:val="03B64756"/>
    <w:rsid w:val="03EE0393"/>
    <w:rsid w:val="04542180"/>
    <w:rsid w:val="04781A0B"/>
    <w:rsid w:val="04FA68C4"/>
    <w:rsid w:val="053A3164"/>
    <w:rsid w:val="054D5478"/>
    <w:rsid w:val="05983EA2"/>
    <w:rsid w:val="05A84572"/>
    <w:rsid w:val="05B13426"/>
    <w:rsid w:val="05B13DA1"/>
    <w:rsid w:val="05B3687C"/>
    <w:rsid w:val="060E4F02"/>
    <w:rsid w:val="06AB091A"/>
    <w:rsid w:val="06C639B9"/>
    <w:rsid w:val="06F2019A"/>
    <w:rsid w:val="07A11279"/>
    <w:rsid w:val="07AE01F0"/>
    <w:rsid w:val="07B436A2"/>
    <w:rsid w:val="07D848BF"/>
    <w:rsid w:val="07F37B27"/>
    <w:rsid w:val="082425D6"/>
    <w:rsid w:val="08E16F84"/>
    <w:rsid w:val="08E52849"/>
    <w:rsid w:val="09045F63"/>
    <w:rsid w:val="09070BB8"/>
    <w:rsid w:val="0910192E"/>
    <w:rsid w:val="09510A7C"/>
    <w:rsid w:val="095764B1"/>
    <w:rsid w:val="096265F6"/>
    <w:rsid w:val="09732DA3"/>
    <w:rsid w:val="098A1E34"/>
    <w:rsid w:val="098D41AA"/>
    <w:rsid w:val="09B604B6"/>
    <w:rsid w:val="09E0252C"/>
    <w:rsid w:val="0A2B09AE"/>
    <w:rsid w:val="0A2E773B"/>
    <w:rsid w:val="0A6A54B2"/>
    <w:rsid w:val="0A7B04A7"/>
    <w:rsid w:val="0A8128A6"/>
    <w:rsid w:val="0A89037C"/>
    <w:rsid w:val="0A9F2860"/>
    <w:rsid w:val="0AC43BFC"/>
    <w:rsid w:val="0B6E1FAB"/>
    <w:rsid w:val="0B783F5A"/>
    <w:rsid w:val="0B8E7D66"/>
    <w:rsid w:val="0BB92006"/>
    <w:rsid w:val="0BF16DD0"/>
    <w:rsid w:val="0BF32A1B"/>
    <w:rsid w:val="0C637445"/>
    <w:rsid w:val="0C7476C0"/>
    <w:rsid w:val="0CC378F0"/>
    <w:rsid w:val="0CD8398F"/>
    <w:rsid w:val="0CF85923"/>
    <w:rsid w:val="0D504D73"/>
    <w:rsid w:val="0D5D3E94"/>
    <w:rsid w:val="0D8E7657"/>
    <w:rsid w:val="0E0D1EA5"/>
    <w:rsid w:val="0E17242D"/>
    <w:rsid w:val="0E1E3623"/>
    <w:rsid w:val="0E42558D"/>
    <w:rsid w:val="0E8F62CF"/>
    <w:rsid w:val="0ED94530"/>
    <w:rsid w:val="0F9E3D65"/>
    <w:rsid w:val="0FA25D28"/>
    <w:rsid w:val="0FAE4E7B"/>
    <w:rsid w:val="10523A58"/>
    <w:rsid w:val="10806817"/>
    <w:rsid w:val="10967DE9"/>
    <w:rsid w:val="10BD2C22"/>
    <w:rsid w:val="10CA00A9"/>
    <w:rsid w:val="11D30BC8"/>
    <w:rsid w:val="12040D82"/>
    <w:rsid w:val="12696E37"/>
    <w:rsid w:val="13347445"/>
    <w:rsid w:val="137A0337"/>
    <w:rsid w:val="13801368"/>
    <w:rsid w:val="138A3509"/>
    <w:rsid w:val="13ED5274"/>
    <w:rsid w:val="14930AB7"/>
    <w:rsid w:val="14FE5F5C"/>
    <w:rsid w:val="156D0873"/>
    <w:rsid w:val="157048CD"/>
    <w:rsid w:val="15B946B5"/>
    <w:rsid w:val="15EB4733"/>
    <w:rsid w:val="17710C68"/>
    <w:rsid w:val="17874176"/>
    <w:rsid w:val="17AF76B7"/>
    <w:rsid w:val="17F412F9"/>
    <w:rsid w:val="181C0856"/>
    <w:rsid w:val="18351C95"/>
    <w:rsid w:val="18502C81"/>
    <w:rsid w:val="189674DF"/>
    <w:rsid w:val="18BA03EC"/>
    <w:rsid w:val="18D94BD2"/>
    <w:rsid w:val="18E44448"/>
    <w:rsid w:val="18F1708D"/>
    <w:rsid w:val="19220236"/>
    <w:rsid w:val="19452489"/>
    <w:rsid w:val="196A044E"/>
    <w:rsid w:val="1977452F"/>
    <w:rsid w:val="197902A7"/>
    <w:rsid w:val="19894F54"/>
    <w:rsid w:val="19AF7825"/>
    <w:rsid w:val="19F17E3E"/>
    <w:rsid w:val="1A383CBF"/>
    <w:rsid w:val="1AA06E05"/>
    <w:rsid w:val="1AC35C7E"/>
    <w:rsid w:val="1B820A31"/>
    <w:rsid w:val="1BAD5803"/>
    <w:rsid w:val="1BC869CB"/>
    <w:rsid w:val="1BF74032"/>
    <w:rsid w:val="1C4C6724"/>
    <w:rsid w:val="1C7B4336"/>
    <w:rsid w:val="1C827473"/>
    <w:rsid w:val="1CAE2016"/>
    <w:rsid w:val="1CB11B06"/>
    <w:rsid w:val="1D183546"/>
    <w:rsid w:val="1D4E37F9"/>
    <w:rsid w:val="1DBA49EB"/>
    <w:rsid w:val="1DD97567"/>
    <w:rsid w:val="1DEC3710"/>
    <w:rsid w:val="1E1B44E3"/>
    <w:rsid w:val="1E291CFE"/>
    <w:rsid w:val="1EA47B74"/>
    <w:rsid w:val="1F2518F0"/>
    <w:rsid w:val="1F3233D2"/>
    <w:rsid w:val="20372364"/>
    <w:rsid w:val="20820BB2"/>
    <w:rsid w:val="20857532"/>
    <w:rsid w:val="20CE712B"/>
    <w:rsid w:val="20E54525"/>
    <w:rsid w:val="20F10A60"/>
    <w:rsid w:val="21195220"/>
    <w:rsid w:val="211B1C44"/>
    <w:rsid w:val="21505D92"/>
    <w:rsid w:val="215A09BE"/>
    <w:rsid w:val="216B2BCB"/>
    <w:rsid w:val="21823A71"/>
    <w:rsid w:val="21BF5A5A"/>
    <w:rsid w:val="21DB7AE8"/>
    <w:rsid w:val="21E5472C"/>
    <w:rsid w:val="220646A2"/>
    <w:rsid w:val="222114DC"/>
    <w:rsid w:val="22987C80"/>
    <w:rsid w:val="22C33958"/>
    <w:rsid w:val="22C34341"/>
    <w:rsid w:val="22F20C9B"/>
    <w:rsid w:val="2342795C"/>
    <w:rsid w:val="236F7EFE"/>
    <w:rsid w:val="240B2444"/>
    <w:rsid w:val="241237D2"/>
    <w:rsid w:val="24192CCC"/>
    <w:rsid w:val="242157C3"/>
    <w:rsid w:val="243065F7"/>
    <w:rsid w:val="24A94248"/>
    <w:rsid w:val="24F05E3C"/>
    <w:rsid w:val="2572486D"/>
    <w:rsid w:val="258C6FE1"/>
    <w:rsid w:val="25A14E0E"/>
    <w:rsid w:val="25B82663"/>
    <w:rsid w:val="25EE029E"/>
    <w:rsid w:val="264B7C0D"/>
    <w:rsid w:val="2685028B"/>
    <w:rsid w:val="26A36964"/>
    <w:rsid w:val="26C012C4"/>
    <w:rsid w:val="272F1FA5"/>
    <w:rsid w:val="27476E6B"/>
    <w:rsid w:val="274E68CF"/>
    <w:rsid w:val="27541A0C"/>
    <w:rsid w:val="275814FC"/>
    <w:rsid w:val="28186EDD"/>
    <w:rsid w:val="28371EDF"/>
    <w:rsid w:val="28550131"/>
    <w:rsid w:val="28B1127A"/>
    <w:rsid w:val="28BB52B5"/>
    <w:rsid w:val="291F7C2D"/>
    <w:rsid w:val="29514CFB"/>
    <w:rsid w:val="296D32E3"/>
    <w:rsid w:val="29C81F34"/>
    <w:rsid w:val="2A1738F0"/>
    <w:rsid w:val="2A300F61"/>
    <w:rsid w:val="2A336250"/>
    <w:rsid w:val="2A733891"/>
    <w:rsid w:val="2AB033FD"/>
    <w:rsid w:val="2AED2B71"/>
    <w:rsid w:val="2B831F57"/>
    <w:rsid w:val="2C0A4D8F"/>
    <w:rsid w:val="2C4B3D66"/>
    <w:rsid w:val="2C934D84"/>
    <w:rsid w:val="2CD32CCD"/>
    <w:rsid w:val="2CD37227"/>
    <w:rsid w:val="2D7339BD"/>
    <w:rsid w:val="2E112405"/>
    <w:rsid w:val="2EC658E5"/>
    <w:rsid w:val="2ED4025B"/>
    <w:rsid w:val="2EE43FBD"/>
    <w:rsid w:val="2EFF6701"/>
    <w:rsid w:val="2F154177"/>
    <w:rsid w:val="2F5702EB"/>
    <w:rsid w:val="2F8A5E20"/>
    <w:rsid w:val="2FA774C5"/>
    <w:rsid w:val="2FB971F8"/>
    <w:rsid w:val="30297EDA"/>
    <w:rsid w:val="303013BE"/>
    <w:rsid w:val="30442F65"/>
    <w:rsid w:val="30835374"/>
    <w:rsid w:val="30973B21"/>
    <w:rsid w:val="30B035EB"/>
    <w:rsid w:val="30DD4C17"/>
    <w:rsid w:val="3117479F"/>
    <w:rsid w:val="311C7A3E"/>
    <w:rsid w:val="31C90006"/>
    <w:rsid w:val="31E33FB1"/>
    <w:rsid w:val="32156597"/>
    <w:rsid w:val="324B1648"/>
    <w:rsid w:val="32DF5385"/>
    <w:rsid w:val="330B63BD"/>
    <w:rsid w:val="331309CD"/>
    <w:rsid w:val="33802506"/>
    <w:rsid w:val="338D077F"/>
    <w:rsid w:val="343567EE"/>
    <w:rsid w:val="34730F40"/>
    <w:rsid w:val="347B2A5F"/>
    <w:rsid w:val="34C5219B"/>
    <w:rsid w:val="35B41FED"/>
    <w:rsid w:val="35D94150"/>
    <w:rsid w:val="35F5260C"/>
    <w:rsid w:val="36036A6F"/>
    <w:rsid w:val="369D33CF"/>
    <w:rsid w:val="36AA33F6"/>
    <w:rsid w:val="36B14785"/>
    <w:rsid w:val="36D75D64"/>
    <w:rsid w:val="36E20DE2"/>
    <w:rsid w:val="36FF7010"/>
    <w:rsid w:val="37180EE6"/>
    <w:rsid w:val="37384EA6"/>
    <w:rsid w:val="37390BB3"/>
    <w:rsid w:val="37760883"/>
    <w:rsid w:val="37C12E31"/>
    <w:rsid w:val="37CC28FD"/>
    <w:rsid w:val="381D4569"/>
    <w:rsid w:val="38224DB5"/>
    <w:rsid w:val="3834681C"/>
    <w:rsid w:val="3836225B"/>
    <w:rsid w:val="38C33344"/>
    <w:rsid w:val="38D74EC3"/>
    <w:rsid w:val="38EC5F48"/>
    <w:rsid w:val="38F512A1"/>
    <w:rsid w:val="3934169D"/>
    <w:rsid w:val="39736669"/>
    <w:rsid w:val="39A66CD4"/>
    <w:rsid w:val="39C22057"/>
    <w:rsid w:val="39F01A68"/>
    <w:rsid w:val="39F74718"/>
    <w:rsid w:val="3A004FB1"/>
    <w:rsid w:val="3A143743"/>
    <w:rsid w:val="3A2F2590"/>
    <w:rsid w:val="3A3E4582"/>
    <w:rsid w:val="3A4B3142"/>
    <w:rsid w:val="3A7D59F5"/>
    <w:rsid w:val="3A8A3C6B"/>
    <w:rsid w:val="3A8C2406"/>
    <w:rsid w:val="3AAD4CC5"/>
    <w:rsid w:val="3B471B5C"/>
    <w:rsid w:val="3B8E778B"/>
    <w:rsid w:val="3B927A5D"/>
    <w:rsid w:val="3BCC4AB7"/>
    <w:rsid w:val="3BF371E9"/>
    <w:rsid w:val="3BF5780A"/>
    <w:rsid w:val="3C067321"/>
    <w:rsid w:val="3C3720E7"/>
    <w:rsid w:val="3C7E15AD"/>
    <w:rsid w:val="3CD52CE1"/>
    <w:rsid w:val="3D043B5C"/>
    <w:rsid w:val="3D0D2931"/>
    <w:rsid w:val="3D1E0548"/>
    <w:rsid w:val="3D233F03"/>
    <w:rsid w:val="3D712EC0"/>
    <w:rsid w:val="3DED7156"/>
    <w:rsid w:val="3E0D080E"/>
    <w:rsid w:val="3E425114"/>
    <w:rsid w:val="3E95013A"/>
    <w:rsid w:val="3EB43FF8"/>
    <w:rsid w:val="3ECD2378"/>
    <w:rsid w:val="3F0F2990"/>
    <w:rsid w:val="3F3146B5"/>
    <w:rsid w:val="3F5937AB"/>
    <w:rsid w:val="3FD65891"/>
    <w:rsid w:val="3FE0426B"/>
    <w:rsid w:val="4000052B"/>
    <w:rsid w:val="40657D71"/>
    <w:rsid w:val="40786313"/>
    <w:rsid w:val="40AE7F87"/>
    <w:rsid w:val="40B732E0"/>
    <w:rsid w:val="40E83499"/>
    <w:rsid w:val="410076D9"/>
    <w:rsid w:val="41061B71"/>
    <w:rsid w:val="410F2E6A"/>
    <w:rsid w:val="413466DE"/>
    <w:rsid w:val="416C5E78"/>
    <w:rsid w:val="41792343"/>
    <w:rsid w:val="41BF46F3"/>
    <w:rsid w:val="420B3283"/>
    <w:rsid w:val="424B0183"/>
    <w:rsid w:val="424E58CF"/>
    <w:rsid w:val="42AB29D0"/>
    <w:rsid w:val="432D5ADB"/>
    <w:rsid w:val="43394480"/>
    <w:rsid w:val="434F5A51"/>
    <w:rsid w:val="436A288B"/>
    <w:rsid w:val="44045B92"/>
    <w:rsid w:val="440E0FC7"/>
    <w:rsid w:val="441616A9"/>
    <w:rsid w:val="442E1043"/>
    <w:rsid w:val="4430136C"/>
    <w:rsid w:val="450F4A4B"/>
    <w:rsid w:val="453B3063"/>
    <w:rsid w:val="45F619F9"/>
    <w:rsid w:val="468B72AF"/>
    <w:rsid w:val="46FE3A16"/>
    <w:rsid w:val="47107D15"/>
    <w:rsid w:val="471E6EE5"/>
    <w:rsid w:val="474A4127"/>
    <w:rsid w:val="477C493B"/>
    <w:rsid w:val="479E6FA7"/>
    <w:rsid w:val="47F30B60"/>
    <w:rsid w:val="4823125B"/>
    <w:rsid w:val="48990EDF"/>
    <w:rsid w:val="48AB3E74"/>
    <w:rsid w:val="48B620CF"/>
    <w:rsid w:val="48C22822"/>
    <w:rsid w:val="48DA7B6B"/>
    <w:rsid w:val="48FD1AAC"/>
    <w:rsid w:val="49415E3C"/>
    <w:rsid w:val="49BC54C3"/>
    <w:rsid w:val="49DB003F"/>
    <w:rsid w:val="4A1672C9"/>
    <w:rsid w:val="4A3F2E2E"/>
    <w:rsid w:val="4A4F62B5"/>
    <w:rsid w:val="4AB0382B"/>
    <w:rsid w:val="4AB10DA0"/>
    <w:rsid w:val="4ABD6691"/>
    <w:rsid w:val="4AE515FF"/>
    <w:rsid w:val="4AF23957"/>
    <w:rsid w:val="4B081FC3"/>
    <w:rsid w:val="4B2772B4"/>
    <w:rsid w:val="4B344A0F"/>
    <w:rsid w:val="4B614574"/>
    <w:rsid w:val="4B962EF8"/>
    <w:rsid w:val="4BD131D5"/>
    <w:rsid w:val="4C2E30F6"/>
    <w:rsid w:val="4C711465"/>
    <w:rsid w:val="4C9B3AB5"/>
    <w:rsid w:val="4CEE361E"/>
    <w:rsid w:val="4D7972C4"/>
    <w:rsid w:val="4D930C30"/>
    <w:rsid w:val="4DEA6365"/>
    <w:rsid w:val="4EF43951"/>
    <w:rsid w:val="4EFF657E"/>
    <w:rsid w:val="4F516A50"/>
    <w:rsid w:val="4F644633"/>
    <w:rsid w:val="4F751221"/>
    <w:rsid w:val="4F936CC6"/>
    <w:rsid w:val="50083210"/>
    <w:rsid w:val="500C6504"/>
    <w:rsid w:val="5023004A"/>
    <w:rsid w:val="50727A86"/>
    <w:rsid w:val="50A078EC"/>
    <w:rsid w:val="50C01D3C"/>
    <w:rsid w:val="50F43794"/>
    <w:rsid w:val="51063B27"/>
    <w:rsid w:val="51840539"/>
    <w:rsid w:val="51870AAC"/>
    <w:rsid w:val="51BE5C8F"/>
    <w:rsid w:val="51CE2AA7"/>
    <w:rsid w:val="520D7203"/>
    <w:rsid w:val="5214519D"/>
    <w:rsid w:val="52346592"/>
    <w:rsid w:val="52367BE6"/>
    <w:rsid w:val="523F1387"/>
    <w:rsid w:val="524E3378"/>
    <w:rsid w:val="52CD24EF"/>
    <w:rsid w:val="533707C6"/>
    <w:rsid w:val="537231BE"/>
    <w:rsid w:val="53BD6A07"/>
    <w:rsid w:val="53FD0BB2"/>
    <w:rsid w:val="54185E47"/>
    <w:rsid w:val="54332825"/>
    <w:rsid w:val="54493DF7"/>
    <w:rsid w:val="544C31BA"/>
    <w:rsid w:val="54784B7D"/>
    <w:rsid w:val="547C41CC"/>
    <w:rsid w:val="556B422E"/>
    <w:rsid w:val="55B81234"/>
    <w:rsid w:val="55C951EF"/>
    <w:rsid w:val="55DA0254"/>
    <w:rsid w:val="55E62245"/>
    <w:rsid w:val="56266D7D"/>
    <w:rsid w:val="56505911"/>
    <w:rsid w:val="566F7200"/>
    <w:rsid w:val="569868B5"/>
    <w:rsid w:val="56D6699E"/>
    <w:rsid w:val="57160908"/>
    <w:rsid w:val="573B0F53"/>
    <w:rsid w:val="57452F9B"/>
    <w:rsid w:val="57B27F05"/>
    <w:rsid w:val="57D23F06"/>
    <w:rsid w:val="57FB365A"/>
    <w:rsid w:val="5800777A"/>
    <w:rsid w:val="58053238"/>
    <w:rsid w:val="583F2A42"/>
    <w:rsid w:val="584A6390"/>
    <w:rsid w:val="584C1675"/>
    <w:rsid w:val="58834E1E"/>
    <w:rsid w:val="58D47213"/>
    <w:rsid w:val="59956F7F"/>
    <w:rsid w:val="59BB5428"/>
    <w:rsid w:val="5A1E5F89"/>
    <w:rsid w:val="5A581238"/>
    <w:rsid w:val="5A5F25C6"/>
    <w:rsid w:val="5A6F322D"/>
    <w:rsid w:val="5A713DAF"/>
    <w:rsid w:val="5A951B44"/>
    <w:rsid w:val="5AB50376"/>
    <w:rsid w:val="5AE76B9A"/>
    <w:rsid w:val="5BA64C84"/>
    <w:rsid w:val="5BC326E1"/>
    <w:rsid w:val="5BD40D92"/>
    <w:rsid w:val="5BEF2C47"/>
    <w:rsid w:val="5BF14F23"/>
    <w:rsid w:val="5C102086"/>
    <w:rsid w:val="5C2D64E5"/>
    <w:rsid w:val="5CF07506"/>
    <w:rsid w:val="5D153410"/>
    <w:rsid w:val="5D78456B"/>
    <w:rsid w:val="5E1017C3"/>
    <w:rsid w:val="5E192E87"/>
    <w:rsid w:val="5E2733FB"/>
    <w:rsid w:val="5E2751A9"/>
    <w:rsid w:val="5E767EDE"/>
    <w:rsid w:val="5E8A3FBC"/>
    <w:rsid w:val="5ED1457C"/>
    <w:rsid w:val="5F130B40"/>
    <w:rsid w:val="5F145603"/>
    <w:rsid w:val="5F1C2834"/>
    <w:rsid w:val="5F1F19F8"/>
    <w:rsid w:val="5F2B0CC9"/>
    <w:rsid w:val="5F5244A8"/>
    <w:rsid w:val="5FE66795"/>
    <w:rsid w:val="60194FC5"/>
    <w:rsid w:val="60952414"/>
    <w:rsid w:val="60954C3E"/>
    <w:rsid w:val="60A519AC"/>
    <w:rsid w:val="60D20387"/>
    <w:rsid w:val="61120392"/>
    <w:rsid w:val="61147C75"/>
    <w:rsid w:val="611F6817"/>
    <w:rsid w:val="61A76F91"/>
    <w:rsid w:val="62606EDB"/>
    <w:rsid w:val="627661B5"/>
    <w:rsid w:val="633574BA"/>
    <w:rsid w:val="63456658"/>
    <w:rsid w:val="635562F3"/>
    <w:rsid w:val="63AB4186"/>
    <w:rsid w:val="63B30F2E"/>
    <w:rsid w:val="63FF7194"/>
    <w:rsid w:val="640F0870"/>
    <w:rsid w:val="64204D90"/>
    <w:rsid w:val="64326425"/>
    <w:rsid w:val="645B56F0"/>
    <w:rsid w:val="64A84B6A"/>
    <w:rsid w:val="64FB1DF2"/>
    <w:rsid w:val="64FD6C64"/>
    <w:rsid w:val="64FF05A7"/>
    <w:rsid w:val="653F56B9"/>
    <w:rsid w:val="65EB11B2"/>
    <w:rsid w:val="66202DE2"/>
    <w:rsid w:val="662C64B1"/>
    <w:rsid w:val="663D12E2"/>
    <w:rsid w:val="665D43A5"/>
    <w:rsid w:val="66637632"/>
    <w:rsid w:val="66BB0B84"/>
    <w:rsid w:val="66CA1754"/>
    <w:rsid w:val="66D87988"/>
    <w:rsid w:val="66F24CF4"/>
    <w:rsid w:val="674C5756"/>
    <w:rsid w:val="68014CBD"/>
    <w:rsid w:val="68130E19"/>
    <w:rsid w:val="685E68F5"/>
    <w:rsid w:val="6914776F"/>
    <w:rsid w:val="69226C1D"/>
    <w:rsid w:val="692F3161"/>
    <w:rsid w:val="694A61EF"/>
    <w:rsid w:val="6A301CE3"/>
    <w:rsid w:val="6A710E0E"/>
    <w:rsid w:val="6A931074"/>
    <w:rsid w:val="6AE85CC0"/>
    <w:rsid w:val="6B546697"/>
    <w:rsid w:val="6B8A4FC9"/>
    <w:rsid w:val="6B9B79B1"/>
    <w:rsid w:val="6BC350F9"/>
    <w:rsid w:val="6C1825D5"/>
    <w:rsid w:val="6C5B6B6F"/>
    <w:rsid w:val="6C636563"/>
    <w:rsid w:val="6C8E1BC0"/>
    <w:rsid w:val="6CD44216"/>
    <w:rsid w:val="6D0019E7"/>
    <w:rsid w:val="6D093549"/>
    <w:rsid w:val="6D527A3F"/>
    <w:rsid w:val="6D771A05"/>
    <w:rsid w:val="6DDE1386"/>
    <w:rsid w:val="6DE94229"/>
    <w:rsid w:val="6E3A5D00"/>
    <w:rsid w:val="6E8D5A12"/>
    <w:rsid w:val="6ED00F45"/>
    <w:rsid w:val="6F0D0399"/>
    <w:rsid w:val="6F0D2199"/>
    <w:rsid w:val="6F1E65D4"/>
    <w:rsid w:val="6F266C86"/>
    <w:rsid w:val="6F5042C2"/>
    <w:rsid w:val="6FC82FF2"/>
    <w:rsid w:val="70180DF5"/>
    <w:rsid w:val="706933FF"/>
    <w:rsid w:val="70B34FC2"/>
    <w:rsid w:val="70ED2282"/>
    <w:rsid w:val="713C44E0"/>
    <w:rsid w:val="71542301"/>
    <w:rsid w:val="715C523E"/>
    <w:rsid w:val="71764865"/>
    <w:rsid w:val="719158EC"/>
    <w:rsid w:val="71F46A46"/>
    <w:rsid w:val="722A4B16"/>
    <w:rsid w:val="72457E9C"/>
    <w:rsid w:val="726031F2"/>
    <w:rsid w:val="726227FC"/>
    <w:rsid w:val="729F57FE"/>
    <w:rsid w:val="72B1108D"/>
    <w:rsid w:val="72DA4A88"/>
    <w:rsid w:val="72F9312A"/>
    <w:rsid w:val="73282D9F"/>
    <w:rsid w:val="73942E89"/>
    <w:rsid w:val="73F61362"/>
    <w:rsid w:val="73FB2F08"/>
    <w:rsid w:val="74316312"/>
    <w:rsid w:val="745C7D6C"/>
    <w:rsid w:val="74623C1E"/>
    <w:rsid w:val="746E7BAE"/>
    <w:rsid w:val="749A1327"/>
    <w:rsid w:val="74AC5FB0"/>
    <w:rsid w:val="74BB4445"/>
    <w:rsid w:val="74FA2108"/>
    <w:rsid w:val="75275446"/>
    <w:rsid w:val="753A180E"/>
    <w:rsid w:val="75826D11"/>
    <w:rsid w:val="75973D58"/>
    <w:rsid w:val="75F401A9"/>
    <w:rsid w:val="766E52A3"/>
    <w:rsid w:val="774050A4"/>
    <w:rsid w:val="77701517"/>
    <w:rsid w:val="77964855"/>
    <w:rsid w:val="77A04790"/>
    <w:rsid w:val="77BA6C36"/>
    <w:rsid w:val="780F13C8"/>
    <w:rsid w:val="78A21BA4"/>
    <w:rsid w:val="78A3591C"/>
    <w:rsid w:val="78AC2A23"/>
    <w:rsid w:val="78BD4DEE"/>
    <w:rsid w:val="79416D11"/>
    <w:rsid w:val="79445DDB"/>
    <w:rsid w:val="794669D3"/>
    <w:rsid w:val="79494432"/>
    <w:rsid w:val="79B871A5"/>
    <w:rsid w:val="79C913B2"/>
    <w:rsid w:val="79E1494E"/>
    <w:rsid w:val="79EE4CCF"/>
    <w:rsid w:val="7A3507F6"/>
    <w:rsid w:val="7A480529"/>
    <w:rsid w:val="7AD95625"/>
    <w:rsid w:val="7C1C3A1B"/>
    <w:rsid w:val="7C1F27DE"/>
    <w:rsid w:val="7C385448"/>
    <w:rsid w:val="7C6B49A3"/>
    <w:rsid w:val="7C857813"/>
    <w:rsid w:val="7C8B0BA1"/>
    <w:rsid w:val="7CB3663D"/>
    <w:rsid w:val="7D220A47"/>
    <w:rsid w:val="7D515947"/>
    <w:rsid w:val="7DCF4ABD"/>
    <w:rsid w:val="7E876D20"/>
    <w:rsid w:val="7E952391"/>
    <w:rsid w:val="7EB10D93"/>
    <w:rsid w:val="7EEA1BAF"/>
    <w:rsid w:val="7F200992"/>
    <w:rsid w:val="7F27205D"/>
    <w:rsid w:val="7F392B36"/>
    <w:rsid w:val="7F3B622C"/>
    <w:rsid w:val="7F401A7F"/>
    <w:rsid w:val="7F551DB0"/>
    <w:rsid w:val="7F6A0F42"/>
    <w:rsid w:val="7F7B4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bCs/>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autoRedefine/>
    <w:qFormat/>
    <w:uiPriority w:val="9"/>
    <w:rPr>
      <w:rFonts w:ascii="Calibri" w:hAnsi="Calibri" w:eastAsia="宋体" w:cs="Times New Roman"/>
      <w:b/>
      <w:bCs/>
      <w:kern w:val="44"/>
      <w:sz w:val="44"/>
      <w:szCs w:val="44"/>
    </w:rPr>
  </w:style>
  <w:style w:type="character" w:customStyle="1" w:styleId="21">
    <w:name w:val="批注文字 Char"/>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character" w:customStyle="1" w:styleId="24">
    <w:name w:val="批注框文本 Char"/>
    <w:basedOn w:val="10"/>
    <w:link w:val="4"/>
    <w:autoRedefine/>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1609</Words>
  <Characters>1671</Characters>
  <Lines>71</Lines>
  <Paragraphs>20</Paragraphs>
  <TotalTime>0</TotalTime>
  <ScaleCrop>false</ScaleCrop>
  <LinksUpToDate>false</LinksUpToDate>
  <CharactersWithSpaces>1682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CZEDU</cp:lastModifiedBy>
  <cp:lastPrinted>2023-12-25T06:09:00Z</cp:lastPrinted>
  <dcterms:modified xsi:type="dcterms:W3CDTF">2025-09-12T05:20:21Z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9315417E0BA344DB800D4A2FED9ED807_12</vt:lpwstr>
  </property>
  <property fmtid="{D5CDD505-2E9C-101B-9397-08002B2CF9AE}" pid="4" name="KSOTemplateDocerSaveRecord">
    <vt:lpwstr>eyJoZGlkIjoiYzg1MjI1ZTcxYWRhOTZjZTA2ZDUyYjU5ODc2YTk3NGQiLCJ1c2VySWQiOiI0NjEyMTY0NjgifQ==</vt:lpwstr>
  </property>
</Properties>
</file>