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EE46C">
      <w:pPr>
        <w:jc w:val="cente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   </w:t>
      </w:r>
      <w:r>
        <w:rPr>
          <w:rFonts w:hint="eastAsia" w:ascii="Times New Roman" w:hAnsi="Times New Roman" w:eastAsia="黑体" w:cs="Times New Roman"/>
          <w:bCs/>
          <w:sz w:val="32"/>
          <w:szCs w:val="32"/>
        </w:rPr>
        <w:t>慢病管理理论与实践</w:t>
      </w:r>
      <w:r>
        <w:rPr>
          <w:rFonts w:hint="default" w:ascii="Times New Roman" w:hAnsi="Times New Roman" w:eastAsia="黑体" w:cs="Times New Roman"/>
          <w:bCs/>
          <w:sz w:val="32"/>
          <w:szCs w:val="32"/>
        </w:rPr>
        <w:t xml:space="preserve">   》本科课程教学大纲</w:t>
      </w:r>
    </w:p>
    <w:p w14:paraId="27C3C150">
      <w:pPr>
        <w:pStyle w:val="17"/>
        <w:spacing w:before="326" w:beforeLines="100" w:line="360" w:lineRule="auto"/>
        <w:rPr>
          <w:rFonts w:hint="default" w:ascii="Times New Roman" w:hAnsi="Times New Roman" w:cs="Times New Roman"/>
        </w:rPr>
      </w:pPr>
      <w:r>
        <w:rPr>
          <w:rFonts w:hint="default" w:ascii="Times New Roman" w:hAnsi="Times New Roman" w:cs="Times New Roman"/>
        </w:rPr>
        <w:t>一、课程基本信息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566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513E3E8">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CC576C6">
            <w:pPr>
              <w:widowControl w:val="0"/>
              <w:jc w:val="left"/>
              <w:rPr>
                <w:rFonts w:hint="default" w:ascii="Times New Roman" w:hAnsi="Times New Roman" w:cs="Times New Roman" w:eastAsiaTheme="majorEastAsia"/>
                <w:color w:val="000000" w:themeColor="text1"/>
                <w:sz w:val="21"/>
                <w:szCs w:val="21"/>
                <w:lang w:val="en-US" w:eastAsia="zh-CN"/>
                <w14:textFill>
                  <w14:solidFill>
                    <w14:schemeClr w14:val="tx1"/>
                  </w14:solidFill>
                </w14:textFill>
              </w:rPr>
            </w:pPr>
            <w:r>
              <w:rPr>
                <w:rFonts w:hint="default" w:ascii="Times New Roman" w:hAnsi="Times New Roman" w:eastAsia="黑体" w:cs="Times New Roman"/>
                <w:bCs/>
                <w:sz w:val="32"/>
                <w:szCs w:val="32"/>
              </w:rPr>
              <w:t xml:space="preserve">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慢病管理理论与实践</w:t>
            </w:r>
            <w:r>
              <w:rPr>
                <w:rFonts w:hint="default" w:ascii="Times New Roman" w:hAnsi="Times New Roman" w:cs="Times New Roman"/>
                <w:color w:val="000000" w:themeColor="text1"/>
                <w:sz w:val="21"/>
                <w:szCs w:val="21"/>
                <w14:textFill>
                  <w14:solidFill>
                    <w14:schemeClr w14:val="tx1"/>
                  </w14:solidFill>
                </w14:textFill>
              </w:rPr>
              <w:t xml:space="preserve"> </w:t>
            </w:r>
          </w:p>
        </w:tc>
      </w:tr>
      <w:tr w14:paraId="47E4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C356A00">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A9856A3">
            <w:pPr>
              <w:widowControl w:val="0"/>
              <w:jc w:val="left"/>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Theory and practice of chronic disease management</w:t>
            </w:r>
          </w:p>
        </w:tc>
      </w:tr>
      <w:tr w14:paraId="664FC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08054B2">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课程代码</w:t>
            </w:r>
          </w:p>
        </w:tc>
        <w:tc>
          <w:tcPr>
            <w:tcW w:w="2260" w:type="dxa"/>
            <w:vAlign w:val="center"/>
          </w:tcPr>
          <w:p w14:paraId="599D5529">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sz w:val="21"/>
                <w:szCs w:val="21"/>
              </w:rPr>
              <w:t>2170</w:t>
            </w:r>
            <w:r>
              <w:rPr>
                <w:rFonts w:hint="eastAsia" w:ascii="Times New Roman" w:hAnsi="Times New Roman" w:cs="Times New Roman"/>
                <w:sz w:val="21"/>
                <w:szCs w:val="21"/>
                <w:lang w:val="en-US" w:eastAsia="zh-CN"/>
              </w:rPr>
              <w:t>116</w:t>
            </w:r>
          </w:p>
        </w:tc>
        <w:tc>
          <w:tcPr>
            <w:tcW w:w="2126" w:type="dxa"/>
            <w:gridSpan w:val="2"/>
            <w:vAlign w:val="center"/>
          </w:tcPr>
          <w:p w14:paraId="78529A20">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20C1EE0">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r>
      <w:tr w14:paraId="67C5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91B0918">
            <w:pPr>
              <w:widowControl w:val="0"/>
              <w:jc w:val="center"/>
              <w:rPr>
                <w:rFonts w:hint="default" w:ascii="Times New Roman" w:hAnsi="Times New Roman" w:cs="Times New Roman"/>
                <w:sz w:val="21"/>
                <w:szCs w:val="18"/>
              </w:rPr>
            </w:pPr>
            <w:r>
              <w:rPr>
                <w:rFonts w:hint="default" w:ascii="Times New Roman" w:hAnsi="Times New Roman" w:eastAsia="黑体" w:cs="Times New Roman"/>
                <w:color w:val="000000" w:themeColor="text1"/>
                <w:sz w:val="21"/>
                <w:szCs w:val="18"/>
                <w14:textFill>
                  <w14:solidFill>
                    <w14:schemeClr w14:val="tx1"/>
                  </w14:solidFill>
                </w14:textFill>
              </w:rPr>
              <w:t>课程学时</w:t>
            </w:r>
            <w:r>
              <w:rPr>
                <w:rFonts w:hint="default" w:ascii="Times New Roman" w:hAnsi="Times New Roman" w:cs="Times New Roman"/>
                <w:sz w:val="21"/>
                <w:szCs w:val="18"/>
              </w:rPr>
              <w:t xml:space="preserve"> </w:t>
            </w:r>
          </w:p>
        </w:tc>
        <w:tc>
          <w:tcPr>
            <w:tcW w:w="2260" w:type="dxa"/>
            <w:vAlign w:val="center"/>
          </w:tcPr>
          <w:p w14:paraId="1AF87ADE">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32</w:t>
            </w:r>
          </w:p>
        </w:tc>
        <w:tc>
          <w:tcPr>
            <w:tcW w:w="1272" w:type="dxa"/>
            <w:vAlign w:val="center"/>
          </w:tcPr>
          <w:p w14:paraId="4AC915D5">
            <w:pPr>
              <w:widowControl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理论学时</w:t>
            </w:r>
          </w:p>
        </w:tc>
        <w:tc>
          <w:tcPr>
            <w:tcW w:w="854" w:type="dxa"/>
            <w:vAlign w:val="center"/>
          </w:tcPr>
          <w:p w14:paraId="7D3E4617">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24</w:t>
            </w:r>
          </w:p>
        </w:tc>
        <w:tc>
          <w:tcPr>
            <w:tcW w:w="1413" w:type="dxa"/>
            <w:gridSpan w:val="2"/>
            <w:vAlign w:val="center"/>
          </w:tcPr>
          <w:p w14:paraId="7A93062C">
            <w:pPr>
              <w:widowControl w:val="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2C9A9F8">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8</w:t>
            </w:r>
          </w:p>
        </w:tc>
      </w:tr>
      <w:tr w14:paraId="56D5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2F07669">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开课学院</w:t>
            </w:r>
          </w:p>
        </w:tc>
        <w:tc>
          <w:tcPr>
            <w:tcW w:w="2260" w:type="dxa"/>
            <w:vAlign w:val="center"/>
          </w:tcPr>
          <w:p w14:paraId="51688CC8">
            <w:pPr>
              <w:widowControl w:val="0"/>
              <w:jc w:val="left"/>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67864544">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适用专业与年级</w:t>
            </w:r>
          </w:p>
        </w:tc>
        <w:tc>
          <w:tcPr>
            <w:tcW w:w="2199" w:type="dxa"/>
            <w:gridSpan w:val="3"/>
            <w:tcBorders>
              <w:right w:val="single" w:color="auto" w:sz="12" w:space="0"/>
            </w:tcBorders>
            <w:vAlign w:val="center"/>
          </w:tcPr>
          <w:p w14:paraId="1B9CB0B7">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养老服务管理</w:t>
            </w:r>
            <w:r>
              <w:rPr>
                <w:rFonts w:hint="eastAsia" w:ascii="Times New Roman" w:hAnsi="Times New Roman" w:cs="Times New Roman"/>
                <w:color w:val="000000" w:themeColor="text1"/>
                <w:sz w:val="21"/>
                <w:szCs w:val="21"/>
                <w:lang w:val="en-US" w:eastAsia="zh-CN"/>
                <w14:textFill>
                  <w14:solidFill>
                    <w14:schemeClr w14:val="tx1"/>
                  </w14:solidFill>
                </w14:textFill>
              </w:rPr>
              <w:t>B22-1，B23-1，B23-2</w:t>
            </w:r>
          </w:p>
        </w:tc>
      </w:tr>
      <w:tr w14:paraId="629A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F6C8DE9">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课程类别与性质</w:t>
            </w:r>
          </w:p>
        </w:tc>
        <w:tc>
          <w:tcPr>
            <w:tcW w:w="2260" w:type="dxa"/>
            <w:vAlign w:val="center"/>
          </w:tcPr>
          <w:p w14:paraId="1674642F">
            <w:pPr>
              <w:widowControl w:val="0"/>
              <w:jc w:val="left"/>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专业选修</w:t>
            </w:r>
          </w:p>
        </w:tc>
        <w:tc>
          <w:tcPr>
            <w:tcW w:w="2126" w:type="dxa"/>
            <w:gridSpan w:val="2"/>
            <w:vAlign w:val="center"/>
          </w:tcPr>
          <w:p w14:paraId="2D67086B">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AD02975">
            <w:pPr>
              <w:widowControl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考查</w:t>
            </w:r>
          </w:p>
        </w:tc>
      </w:tr>
      <w:tr w14:paraId="4C98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16B0569">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选用教材</w:t>
            </w:r>
          </w:p>
        </w:tc>
        <w:tc>
          <w:tcPr>
            <w:tcW w:w="4386" w:type="dxa"/>
            <w:gridSpan w:val="3"/>
            <w:vAlign w:val="center"/>
          </w:tcPr>
          <w:p w14:paraId="3ABEDD6E">
            <w:pPr>
              <w:widowControl w:val="0"/>
              <w:jc w:val="both"/>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bCs/>
                <w:sz w:val="18"/>
                <w:szCs w:val="18"/>
              </w:rPr>
              <w:t>慢性病社区防控与健康管理  主编 张帆 王凌云  化学工业出版社</w:t>
            </w:r>
          </w:p>
        </w:tc>
        <w:tc>
          <w:tcPr>
            <w:tcW w:w="1413" w:type="dxa"/>
            <w:gridSpan w:val="2"/>
            <w:vAlign w:val="center"/>
          </w:tcPr>
          <w:p w14:paraId="0AD42A3C">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是否为</w:t>
            </w:r>
          </w:p>
          <w:p w14:paraId="05FC74AC">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2505075">
            <w:pPr>
              <w:widowControl w:val="0"/>
              <w:ind w:left="120" w:leftChars="50"/>
              <w:jc w:val="lef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否</w:t>
            </w:r>
          </w:p>
        </w:tc>
      </w:tr>
      <w:tr w14:paraId="5B48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718BB3E">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7E26B27">
            <w:pPr>
              <w:pStyle w:val="15"/>
              <w:widowControl w:val="0"/>
              <w:jc w:val="both"/>
              <w:rPr>
                <w:rFonts w:hint="default" w:ascii="Times New Roman" w:hAnsi="Times New Roman" w:eastAsia="宋体" w:cs="Times New Roman"/>
                <w:lang w:val="en-US" w:eastAsia="zh-CN"/>
              </w:rPr>
            </w:pPr>
            <w:r>
              <w:rPr>
                <w:rFonts w:hint="eastAsia" w:ascii="宋体" w:hAnsi="宋体" w:eastAsia="宋体" w:cs="宋体"/>
                <w:bCs/>
                <w:color w:val="auto"/>
                <w:sz w:val="18"/>
                <w:szCs w:val="18"/>
                <w:lang w:val="en-US" w:eastAsia="zh-CN" w:bidi="ar-SA"/>
              </w:rPr>
              <w:t>正常人体结构学21700001（3）、正常人体功能学2170002（3）、疾病学基础2170003（4）、《临床医学概要》2170006（4）</w:t>
            </w:r>
          </w:p>
        </w:tc>
      </w:tr>
      <w:tr w14:paraId="1309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53" w:hRule="atLeast"/>
        </w:trPr>
        <w:tc>
          <w:tcPr>
            <w:tcW w:w="1691" w:type="dxa"/>
            <w:tcBorders>
              <w:left w:val="single" w:color="auto" w:sz="12" w:space="0"/>
            </w:tcBorders>
            <w:shd w:val="clear" w:color="auto" w:fill="auto"/>
            <w:vAlign w:val="center"/>
          </w:tcPr>
          <w:p w14:paraId="104BC149">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E1DE018">
            <w:pPr>
              <w:keepNext w:val="0"/>
              <w:keepLines w:val="0"/>
              <w:pageBreakBefore w:val="0"/>
              <w:widowControl w:val="0"/>
              <w:kinsoku/>
              <w:wordWrap/>
              <w:overflowPunct/>
              <w:topLinePunct w:val="0"/>
              <w:autoSpaceDE/>
              <w:autoSpaceDN/>
              <w:bidi w:val="0"/>
              <w:adjustRightInd/>
              <w:snapToGrid/>
              <w:spacing w:line="240" w:lineRule="auto"/>
              <w:ind w:left="0" w:firstLine="360" w:firstLineChars="200"/>
              <w:jc w:val="both"/>
              <w:textAlignment w:val="auto"/>
              <w:rPr>
                <w:rFonts w:hint="eastAsia" w:ascii="宋体" w:hAnsi="宋体" w:eastAsia="宋体" w:cs="宋体"/>
                <w:bCs/>
                <w:color w:val="auto"/>
                <w:sz w:val="18"/>
                <w:szCs w:val="18"/>
                <w:lang w:val="en-US" w:eastAsia="zh-CN" w:bidi="ar-SA"/>
              </w:rPr>
            </w:pPr>
            <w:r>
              <w:rPr>
                <w:rFonts w:hint="eastAsia" w:ascii="宋体" w:hAnsi="宋体" w:eastAsia="宋体" w:cs="宋体"/>
                <w:bCs/>
                <w:color w:val="auto"/>
                <w:sz w:val="18"/>
                <w:szCs w:val="18"/>
                <w:lang w:val="en-US" w:eastAsia="zh-CN" w:bidi="ar-SA"/>
              </w:rPr>
              <w:t>慢病管理理论与实践是一门随社会发展社区居民需求而出现的新兴课程</w:t>
            </w:r>
            <w:r>
              <w:rPr>
                <w:rFonts w:hint="eastAsia" w:cs="宋体"/>
                <w:bCs/>
                <w:color w:val="auto"/>
                <w:sz w:val="18"/>
                <w:szCs w:val="18"/>
                <w:lang w:val="en-US" w:eastAsia="zh-CN" w:bidi="ar-SA"/>
              </w:rPr>
              <w:t>，</w:t>
            </w:r>
            <w:r>
              <w:rPr>
                <w:rFonts w:hint="eastAsia" w:ascii="宋体" w:hAnsi="宋体" w:eastAsia="宋体" w:cs="宋体"/>
                <w:bCs/>
                <w:color w:val="auto"/>
                <w:sz w:val="18"/>
                <w:szCs w:val="18"/>
                <w:lang w:val="en-US" w:eastAsia="zh-CN" w:bidi="ar-SA"/>
              </w:rPr>
              <w:t>是针对如何对慢性病的病人进行持续性管理，干预的的社区医学科，其主要内容包括全科领域慢性病病人的持续性、全程性治疗、预防保健以及促进人类健康所必需的基础理论、基本知识和基本技能。本课程的主要任务是使学生树立“以人的健康为中心，以社区为单位，以发病率高的慢性病为管理对象，有计划，有组织，全面，持续的进行社区预防和管理活动”，培养和强化健全治疗-康复-长期的护理服务理念，利用所掌握的本课程知识及技能，开展临床及社区慢性病的管理服务。</w:t>
            </w:r>
          </w:p>
          <w:p w14:paraId="236D15C2">
            <w:pPr>
              <w:keepNext w:val="0"/>
              <w:keepLines w:val="0"/>
              <w:pageBreakBefore w:val="0"/>
              <w:widowControl w:val="0"/>
              <w:kinsoku/>
              <w:wordWrap/>
              <w:overflowPunct/>
              <w:topLinePunct w:val="0"/>
              <w:autoSpaceDE/>
              <w:autoSpaceDN/>
              <w:bidi w:val="0"/>
              <w:adjustRightInd/>
              <w:snapToGrid/>
              <w:spacing w:line="240" w:lineRule="auto"/>
              <w:ind w:left="0" w:firstLine="360" w:firstLineChars="200"/>
              <w:jc w:val="both"/>
              <w:textAlignment w:val="auto"/>
              <w:rPr>
                <w:rFonts w:hint="default" w:ascii="Times New Roman" w:hAnsi="Times New Roman" w:cs="Times New Roman"/>
                <w:sz w:val="21"/>
                <w:szCs w:val="21"/>
                <w:lang w:val="en-US" w:eastAsia="zh-CN"/>
              </w:rPr>
            </w:pPr>
            <w:r>
              <w:rPr>
                <w:rFonts w:hint="eastAsia" w:ascii="宋体" w:hAnsi="宋体" w:eastAsia="宋体" w:cs="宋体"/>
                <w:bCs/>
                <w:color w:val="auto"/>
                <w:sz w:val="18"/>
                <w:szCs w:val="18"/>
                <w:lang w:val="en-US" w:eastAsia="zh-CN" w:bidi="ar-SA"/>
              </w:rPr>
              <w:t>在教学过程中，应始终贯彻预防为主的思想，坚持理论联系临床实际，灵活运用地讲授、自学、讨论、实验、案例分析等方法和多媒体计算机辅助教学活动，注重治未病技能训练、人文关怀、评判思维以及综合分析能力的培养。以高血压，心脑血管疾病，糖尿病，慢性阻塞性肺病等常见病的健康管理为教学重点，适当介绍国内外本学科的新理论、新技术和新动态，反应学科发展水平。</w:t>
            </w:r>
          </w:p>
        </w:tc>
      </w:tr>
      <w:tr w14:paraId="6300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1" w:hRule="atLeast"/>
        </w:trPr>
        <w:tc>
          <w:tcPr>
            <w:tcW w:w="1691" w:type="dxa"/>
            <w:tcBorders>
              <w:left w:val="single" w:color="auto" w:sz="12" w:space="0"/>
              <w:bottom w:val="double" w:color="auto" w:sz="4" w:space="0"/>
            </w:tcBorders>
            <w:shd w:val="clear" w:color="auto" w:fill="auto"/>
            <w:vAlign w:val="center"/>
          </w:tcPr>
          <w:p w14:paraId="709829AF">
            <w:pPr>
              <w:widowControl w:val="0"/>
              <w:jc w:val="center"/>
              <w:rPr>
                <w:rFonts w:hint="default" w:ascii="Times New Roman" w:hAnsi="Times New Roman" w:eastAsia="黑体" w:cs="Times New Roman"/>
                <w:color w:val="000000" w:themeColor="text1"/>
                <w:sz w:val="21"/>
                <w:szCs w:val="18"/>
                <w14:textFill>
                  <w14:solidFill>
                    <w14:schemeClr w14:val="tx1"/>
                  </w14:solidFill>
                </w14:textFill>
              </w:rPr>
            </w:pPr>
            <w:r>
              <w:rPr>
                <w:rFonts w:hint="default" w:ascii="Times New Roman" w:hAnsi="Times New Roman" w:eastAsia="黑体" w:cs="Times New Roman"/>
                <w:color w:val="000000" w:themeColor="text1"/>
                <w:sz w:val="21"/>
                <w:szCs w:val="18"/>
                <w14:textFill>
                  <w14:solidFill>
                    <w14:schemeClr w14:val="tx1"/>
                  </w14:solidFill>
                </w14:textFill>
              </w:rPr>
              <w:t>选课建议与学习要求</w:t>
            </w:r>
          </w:p>
        </w:tc>
        <w:tc>
          <w:tcPr>
            <w:tcW w:w="6585" w:type="dxa"/>
            <w:gridSpan w:val="6"/>
            <w:tcBorders>
              <w:bottom w:val="double" w:color="auto" w:sz="4" w:space="0"/>
              <w:right w:val="single" w:color="auto" w:sz="12" w:space="0"/>
            </w:tcBorders>
          </w:tcPr>
          <w:p w14:paraId="7C7628D4">
            <w:pPr>
              <w:widowControl w:val="0"/>
              <w:spacing w:line="360" w:lineRule="exact"/>
              <w:ind w:left="-80" w:firstLine="365" w:firstLineChars="203"/>
              <w:jc w:val="both"/>
              <w:rPr>
                <w:rFonts w:hint="default" w:ascii="宋体" w:hAnsi="宋体" w:eastAsia="宋体" w:cs="宋体"/>
                <w:bCs/>
                <w:color w:val="auto"/>
                <w:sz w:val="18"/>
                <w:szCs w:val="18"/>
                <w:lang w:val="en-US" w:eastAsia="zh-CN" w:bidi="ar-SA"/>
              </w:rPr>
            </w:pPr>
            <w:r>
              <w:rPr>
                <w:rFonts w:hint="eastAsia" w:ascii="宋体" w:hAnsi="宋体" w:eastAsia="宋体" w:cs="宋体"/>
                <w:bCs/>
                <w:color w:val="auto"/>
                <w:sz w:val="18"/>
                <w:szCs w:val="18"/>
                <w:lang w:val="en-US" w:eastAsia="zh-CN" w:bidi="ar-SA"/>
              </w:rPr>
              <w:t>学习《慢性病社区防控与健康管理》，需要在学习医学基础各课程（如全科学，流行病学、诊断学、生理学、病理学与病理生理学、药理学、计算机，健康评估等）的基础上才能学习。</w:t>
            </w:r>
          </w:p>
        </w:tc>
      </w:tr>
      <w:tr w14:paraId="59B80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9" w:hRule="atLeast"/>
        </w:trPr>
        <w:tc>
          <w:tcPr>
            <w:tcW w:w="1691" w:type="dxa"/>
            <w:tcBorders>
              <w:top w:val="double" w:color="auto" w:sz="4" w:space="0"/>
              <w:left w:val="single" w:color="auto" w:sz="12" w:space="0"/>
            </w:tcBorders>
            <w:shd w:val="clear" w:color="auto" w:fill="auto"/>
            <w:vAlign w:val="center"/>
          </w:tcPr>
          <w:p w14:paraId="1F22EDF1">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B3F2A9D">
            <w:pPr>
              <w:widowControl w:val="0"/>
              <w:jc w:val="right"/>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sz w:val="21"/>
                <w:szCs w:val="21"/>
              </w:rPr>
              <w:drawing>
                <wp:inline distT="0" distB="0" distL="114300" distR="114300">
                  <wp:extent cx="714375" cy="252095"/>
                  <wp:effectExtent l="0" t="0" r="1905" b="6985"/>
                  <wp:docPr id="3" name="图片 3" descr="微信图片_2024083115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31153434"/>
                          <pic:cNvPicPr>
                            <a:picLocks noChangeAspect="1"/>
                          </pic:cNvPicPr>
                        </pic:nvPicPr>
                        <pic:blipFill>
                          <a:blip r:embed="rId5"/>
                          <a:stretch>
                            <a:fillRect/>
                          </a:stretch>
                        </pic:blipFill>
                        <pic:spPr>
                          <a:xfrm>
                            <a:off x="0" y="0"/>
                            <a:ext cx="714375" cy="252095"/>
                          </a:xfrm>
                          <a:prstGeom prst="rect">
                            <a:avLst/>
                          </a:prstGeom>
                        </pic:spPr>
                      </pic:pic>
                    </a:graphicData>
                  </a:graphic>
                </wp:inline>
              </w:drawing>
            </w:r>
            <w:r>
              <w:rPr>
                <w:rFonts w:hint="default" w:ascii="Times New Roman" w:hAnsi="Times New Roman" w:cs="Times New Roman"/>
                <w:sz w:val="21"/>
                <w:szCs w:val="21"/>
              </w:rPr>
              <w:t>（签名）</w:t>
            </w:r>
          </w:p>
        </w:tc>
        <w:tc>
          <w:tcPr>
            <w:tcW w:w="1425" w:type="dxa"/>
            <w:gridSpan w:val="2"/>
            <w:tcBorders>
              <w:top w:val="double" w:color="auto" w:sz="4" w:space="0"/>
            </w:tcBorders>
            <w:vAlign w:val="center"/>
          </w:tcPr>
          <w:p w14:paraId="5A8246BF">
            <w:pPr>
              <w:widowControl w:val="0"/>
              <w:jc w:val="center"/>
              <w:rPr>
                <w:rFonts w:hint="default" w:ascii="Times New Roman" w:hAnsi="Times New Roman" w:cs="Times New Roman"/>
                <w:sz w:val="21"/>
                <w:szCs w:val="21"/>
              </w:rPr>
            </w:pPr>
            <w:r>
              <w:rPr>
                <w:rFonts w:hint="default" w:ascii="Times New Roman" w:hAnsi="Times New Roman" w:eastAsia="黑体" w:cs="Times New Roman"/>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280D145">
            <w:pPr>
              <w:widowControl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202</w:t>
            </w:r>
            <w:r>
              <w:rPr>
                <w:rFonts w:hint="eastAsia"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1.16</w:t>
            </w:r>
          </w:p>
        </w:tc>
      </w:tr>
      <w:tr w14:paraId="16D8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9D67698">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专业负责人</w:t>
            </w:r>
          </w:p>
        </w:tc>
        <w:tc>
          <w:tcPr>
            <w:tcW w:w="3532" w:type="dxa"/>
            <w:gridSpan w:val="2"/>
            <w:vAlign w:val="center"/>
          </w:tcPr>
          <w:p w14:paraId="6D46A7E1">
            <w:pPr>
              <w:widowControl w:val="0"/>
              <w:jc w:val="right"/>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cs="Times New Roman"/>
                <w:sz w:val="21"/>
                <w:szCs w:val="21"/>
              </w:rPr>
              <w:drawing>
                <wp:inline distT="0" distB="0" distL="114300" distR="114300">
                  <wp:extent cx="629285" cy="328295"/>
                  <wp:effectExtent l="0" t="0" r="5715" b="190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6"/>
                          <a:srcRect l="8517" t="14055" r="12341" b="13852"/>
                          <a:stretch>
                            <a:fillRect/>
                          </a:stretch>
                        </pic:blipFill>
                        <pic:spPr>
                          <a:xfrm>
                            <a:off x="0" y="0"/>
                            <a:ext cx="629285" cy="328295"/>
                          </a:xfrm>
                          <a:prstGeom prst="rect">
                            <a:avLst/>
                          </a:prstGeom>
                        </pic:spPr>
                      </pic:pic>
                    </a:graphicData>
                  </a:graphic>
                </wp:inline>
              </w:drawing>
            </w:r>
            <w:r>
              <w:rPr>
                <w:rFonts w:hint="default" w:ascii="Times New Roman" w:hAnsi="Times New Roman" w:cs="Times New Roman"/>
                <w:sz w:val="21"/>
                <w:szCs w:val="21"/>
              </w:rPr>
              <w:t>（签名）</w:t>
            </w:r>
          </w:p>
        </w:tc>
        <w:tc>
          <w:tcPr>
            <w:tcW w:w="1425" w:type="dxa"/>
            <w:gridSpan w:val="2"/>
            <w:vAlign w:val="center"/>
          </w:tcPr>
          <w:p w14:paraId="5364C633">
            <w:pPr>
              <w:widowControl w:val="0"/>
              <w:jc w:val="center"/>
              <w:rPr>
                <w:rFonts w:hint="default" w:ascii="Times New Roman" w:hAnsi="Times New Roman" w:cs="Times New Roman"/>
                <w:sz w:val="21"/>
                <w:szCs w:val="21"/>
              </w:rPr>
            </w:pPr>
            <w:r>
              <w:rPr>
                <w:rFonts w:hint="default" w:ascii="Times New Roman" w:hAnsi="Times New Roman" w:eastAsia="黑体" w:cs="Times New Roman"/>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FE065E5">
            <w:pPr>
              <w:widowControl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202</w:t>
            </w:r>
            <w:r>
              <w:rPr>
                <w:rFonts w:hint="eastAsia"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2.19</w:t>
            </w:r>
          </w:p>
        </w:tc>
      </w:tr>
      <w:tr w14:paraId="2426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323D44B">
            <w:pPr>
              <w:widowControl w:val="0"/>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F7D1946">
            <w:pPr>
              <w:widowControl w:val="0"/>
              <w:jc w:val="right"/>
              <w:rPr>
                <w:rFonts w:hint="default" w:ascii="Times New Roman" w:hAnsi="Times New Roman" w:eastAsia="黑体" w:cs="Times New Roman"/>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bookmarkStart w:id="6" w:name="_GoBack"/>
            <w:bookmarkEnd w:id="6"/>
            <w:r>
              <w:rPr>
                <w:rFonts w:hint="default" w:ascii="Times New Roman" w:hAnsi="Times New Roman" w:cs="Times New Roman"/>
                <w:sz w:val="21"/>
                <w:szCs w:val="21"/>
              </w:rPr>
              <w:t>（签名）</w:t>
            </w:r>
          </w:p>
        </w:tc>
        <w:tc>
          <w:tcPr>
            <w:tcW w:w="1425" w:type="dxa"/>
            <w:gridSpan w:val="2"/>
            <w:tcBorders>
              <w:bottom w:val="single" w:color="auto" w:sz="12" w:space="0"/>
            </w:tcBorders>
            <w:vAlign w:val="center"/>
          </w:tcPr>
          <w:p w14:paraId="11DCA51F">
            <w:pPr>
              <w:widowControl w:val="0"/>
              <w:jc w:val="center"/>
              <w:rPr>
                <w:rFonts w:hint="default" w:ascii="Times New Roman" w:hAnsi="Times New Roman" w:cs="Times New Roman"/>
                <w:sz w:val="21"/>
                <w:szCs w:val="21"/>
              </w:rPr>
            </w:pPr>
            <w:r>
              <w:rPr>
                <w:rFonts w:hint="default" w:ascii="Times New Roman" w:hAnsi="Times New Roman" w:eastAsia="黑体" w:cs="Times New Roman"/>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8A8233E">
            <w:pPr>
              <w:widowControl w:val="0"/>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202</w:t>
            </w:r>
            <w:r>
              <w:rPr>
                <w:rFonts w:hint="eastAsia" w:ascii="Times New Roman" w:hAnsi="Times New Roman" w:cs="Times New Roman"/>
                <w:color w:val="000000"/>
                <w:sz w:val="21"/>
                <w:szCs w:val="21"/>
                <w:lang w:val="en-US" w:eastAsia="zh-CN"/>
              </w:rPr>
              <w:t>5</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2.19</w:t>
            </w:r>
          </w:p>
        </w:tc>
      </w:tr>
    </w:tbl>
    <w:p w14:paraId="73644EF7">
      <w:pPr>
        <w:spacing w:line="100" w:lineRule="exact"/>
        <w:rPr>
          <w:rFonts w:hint="default" w:ascii="Times New Roman" w:hAnsi="Times New Roman" w:eastAsia="黑体" w:cs="Times New Roman"/>
        </w:rPr>
      </w:pPr>
      <w:r>
        <w:rPr>
          <w:rFonts w:hint="default" w:ascii="Times New Roman" w:hAnsi="Times New Roman" w:cs="Times New Roman"/>
        </w:rPr>
        <w:br w:type="page"/>
      </w:r>
    </w:p>
    <w:p w14:paraId="03FDF549">
      <w:pPr>
        <w:pStyle w:val="17"/>
        <w:spacing w:before="326" w:beforeLines="100" w:line="360" w:lineRule="auto"/>
        <w:rPr>
          <w:rFonts w:hint="default" w:ascii="Times New Roman" w:hAnsi="Times New Roman" w:cs="Times New Roman"/>
        </w:rPr>
      </w:pPr>
      <w:r>
        <w:rPr>
          <w:rFonts w:hint="default" w:ascii="Times New Roman" w:hAnsi="Times New Roman" w:cs="Times New Roman"/>
        </w:rPr>
        <w:t>二、课程目标与毕业要求</w:t>
      </w:r>
    </w:p>
    <w:p w14:paraId="4677C3B2">
      <w:pPr>
        <w:pStyle w:val="18"/>
        <w:spacing w:before="81" w:after="163"/>
        <w:rPr>
          <w:rFonts w:hint="default" w:ascii="Times New Roman" w:hAnsi="Times New Roman" w:cs="Times New Roman"/>
        </w:rPr>
      </w:pPr>
      <w:r>
        <w:rPr>
          <w:rFonts w:hint="default" w:ascii="Times New Roman" w:hAnsi="Times New Roman" w:cs="Times New Roman"/>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5B4C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7AEA6685">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类型</w:t>
            </w:r>
          </w:p>
        </w:tc>
        <w:tc>
          <w:tcPr>
            <w:tcW w:w="782" w:type="dxa"/>
            <w:shd w:val="clear" w:color="auto" w:fill="auto"/>
            <w:vAlign w:val="center"/>
          </w:tcPr>
          <w:p w14:paraId="4B90246A">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序号</w:t>
            </w:r>
          </w:p>
        </w:tc>
        <w:tc>
          <w:tcPr>
            <w:tcW w:w="6459" w:type="dxa"/>
            <w:vAlign w:val="center"/>
          </w:tcPr>
          <w:p w14:paraId="5BE8F05F">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内容</w:t>
            </w:r>
          </w:p>
        </w:tc>
      </w:tr>
      <w:tr w14:paraId="14649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492729F4">
            <w:pPr>
              <w:snapToGrid w:val="0"/>
              <w:jc w:val="center"/>
              <w:rPr>
                <w:rFonts w:hint="default" w:ascii="Times New Roman" w:hAnsi="Times New Roman" w:cs="Times New Roman"/>
              </w:rPr>
            </w:pPr>
            <w:r>
              <w:rPr>
                <w:rFonts w:hint="default" w:ascii="Times New Roman" w:hAnsi="Times New Roman" w:eastAsia="黑体" w:cs="Times New Roman"/>
                <w:bCs/>
                <w:color w:val="000000"/>
                <w:sz w:val="21"/>
                <w:szCs w:val="18"/>
              </w:rPr>
              <w:t>知识目标</w:t>
            </w:r>
          </w:p>
        </w:tc>
        <w:tc>
          <w:tcPr>
            <w:tcW w:w="782" w:type="dxa"/>
            <w:shd w:val="clear" w:color="auto" w:fill="auto"/>
            <w:vAlign w:val="center"/>
          </w:tcPr>
          <w:p w14:paraId="617A1D1D">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1</w:t>
            </w:r>
          </w:p>
        </w:tc>
        <w:tc>
          <w:tcPr>
            <w:tcW w:w="6459" w:type="dxa"/>
            <w:vAlign w:val="center"/>
          </w:tcPr>
          <w:p w14:paraId="04978282">
            <w:pPr>
              <w:rPr>
                <w:rFonts w:hint="default" w:ascii="Times New Roman" w:hAnsi="Times New Roman" w:eastAsia="宋体" w:cs="Times New Roman"/>
                <w:bCs/>
                <w:lang w:val="en-US" w:eastAsia="zh-CN"/>
              </w:rPr>
            </w:pPr>
            <w:r>
              <w:t>掌握管理学、社会学和护理学等学科的基础理论、专门知识，以及现代养老服务管理的前沿理念。</w:t>
            </w:r>
          </w:p>
        </w:tc>
      </w:tr>
      <w:tr w14:paraId="4C37B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Align w:val="center"/>
          </w:tcPr>
          <w:p w14:paraId="173B8594">
            <w:pPr>
              <w:snapToGrid w:val="0"/>
              <w:jc w:val="center"/>
              <w:rPr>
                <w:rFonts w:hint="default" w:ascii="Times New Roman" w:hAnsi="Times New Roman" w:cs="Times New Roman"/>
              </w:rPr>
            </w:pPr>
            <w:r>
              <w:rPr>
                <w:rFonts w:hint="default" w:ascii="Times New Roman" w:hAnsi="Times New Roman" w:eastAsia="黑体" w:cs="Times New Roman"/>
                <w:bCs/>
                <w:color w:val="000000"/>
                <w:sz w:val="21"/>
                <w:szCs w:val="18"/>
              </w:rPr>
              <w:t>技能目标</w:t>
            </w:r>
          </w:p>
        </w:tc>
        <w:tc>
          <w:tcPr>
            <w:tcW w:w="782" w:type="dxa"/>
            <w:shd w:val="clear" w:color="auto" w:fill="auto"/>
            <w:vAlign w:val="center"/>
          </w:tcPr>
          <w:p w14:paraId="18F89AE4">
            <w:pPr>
              <w:snapToGrid w:val="0"/>
              <w:jc w:val="center"/>
              <w:rPr>
                <w:rFonts w:hint="default" w:ascii="Times New Roman" w:hAnsi="Times New Roman" w:eastAsia="黑体" w:cs="Times New Roman"/>
                <w:bCs/>
                <w:color w:val="000000"/>
                <w:sz w:val="21"/>
                <w:szCs w:val="18"/>
                <w:lang w:eastAsia="zh-CN"/>
              </w:rPr>
            </w:pPr>
            <w:r>
              <w:rPr>
                <w:rFonts w:hint="default" w:ascii="Times New Roman" w:hAnsi="Times New Roman" w:eastAsia="黑体" w:cs="Times New Roman"/>
                <w:bCs/>
                <w:color w:val="000000"/>
                <w:sz w:val="21"/>
                <w:szCs w:val="18"/>
                <w:lang w:val="en-US" w:eastAsia="zh-CN"/>
              </w:rPr>
              <w:t>2</w:t>
            </w:r>
          </w:p>
        </w:tc>
        <w:tc>
          <w:tcPr>
            <w:tcW w:w="6459" w:type="dxa"/>
            <w:vAlign w:val="center"/>
          </w:tcPr>
          <w:p w14:paraId="3AB40167">
            <w:r>
              <w:t>能在现代养老服务领域开展与本专业相关的工作，具备研发能力、创新意识和团队精神。</w:t>
            </w:r>
          </w:p>
          <w:p w14:paraId="27FB43A6">
            <w:r>
              <w:t>掌握发现并致力解决老年人群生理、心理、社会需求问题的专业技能。</w:t>
            </w:r>
          </w:p>
          <w:p w14:paraId="70739412">
            <w:pPr>
              <w:keepNext w:val="0"/>
              <w:keepLines w:val="0"/>
              <w:widowControl/>
              <w:suppressLineNumbers w:val="0"/>
              <w:jc w:val="left"/>
              <w:textAlignment w:val="center"/>
              <w:rPr>
                <w:rFonts w:hint="default" w:ascii="Times New Roman" w:hAnsi="Times New Roman" w:eastAsia="宋体" w:cs="Times New Roman"/>
                <w:bCs/>
                <w:lang w:val="en-US" w:eastAsia="zh-CN"/>
              </w:rPr>
            </w:pPr>
            <w:r>
              <w:t>具备与国际国内同行、客户进行沟通的能力，以及跨文化交流合作的技能。</w:t>
            </w:r>
          </w:p>
        </w:tc>
      </w:tr>
      <w:tr w14:paraId="1615B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198" w:hRule="atLeast"/>
          <w:jc w:val="center"/>
        </w:trPr>
        <w:tc>
          <w:tcPr>
            <w:tcW w:w="1235" w:type="dxa"/>
            <w:vMerge w:val="restart"/>
            <w:vAlign w:val="center"/>
          </w:tcPr>
          <w:p w14:paraId="55C0790D">
            <w:pPr>
              <w:snapToGrid w:val="0"/>
              <w:jc w:val="center"/>
              <w:rPr>
                <w:rFonts w:hint="default" w:ascii="Times New Roman" w:hAnsi="Times New Roman" w:eastAsia="黑体" w:cs="Times New Roman"/>
                <w:bCs/>
                <w:color w:val="000000"/>
                <w:sz w:val="21"/>
                <w:szCs w:val="18"/>
              </w:rPr>
            </w:pPr>
            <w:r>
              <w:rPr>
                <w:rFonts w:hint="default" w:ascii="Times New Roman" w:hAnsi="Times New Roman" w:eastAsia="黑体" w:cs="Times New Roman"/>
                <w:bCs/>
                <w:color w:val="000000"/>
                <w:sz w:val="21"/>
                <w:szCs w:val="18"/>
              </w:rPr>
              <w:t>素养目标</w:t>
            </w:r>
          </w:p>
          <w:p w14:paraId="494B920B">
            <w:pPr>
              <w:snapToGrid w:val="0"/>
              <w:jc w:val="center"/>
              <w:rPr>
                <w:rFonts w:hint="default" w:ascii="Times New Roman" w:hAnsi="Times New Roman" w:cs="Times New Roman"/>
              </w:rPr>
            </w:pPr>
            <w:r>
              <w:rPr>
                <w:rFonts w:hint="default" w:ascii="Times New Roman" w:hAnsi="Times New Roman" w:eastAsia="黑体" w:cs="Times New Roman"/>
                <w:bCs/>
                <w:color w:val="000000"/>
                <w:sz w:val="21"/>
                <w:szCs w:val="18"/>
              </w:rPr>
              <w:t>(含课程思政目标)</w:t>
            </w:r>
          </w:p>
        </w:tc>
        <w:tc>
          <w:tcPr>
            <w:tcW w:w="782" w:type="dxa"/>
            <w:shd w:val="clear" w:color="auto" w:fill="auto"/>
            <w:vAlign w:val="center"/>
          </w:tcPr>
          <w:p w14:paraId="30A51FC2">
            <w:pPr>
              <w:snapToGrid w:val="0"/>
              <w:jc w:val="center"/>
              <w:rPr>
                <w:rFonts w:hint="default" w:ascii="Times New Roman" w:hAnsi="Times New Roman" w:eastAsia="黑体" w:cs="Times New Roman"/>
                <w:bCs/>
                <w:color w:val="000000"/>
                <w:sz w:val="21"/>
                <w:szCs w:val="18"/>
                <w:lang w:eastAsia="zh-CN"/>
              </w:rPr>
            </w:pPr>
            <w:r>
              <w:rPr>
                <w:rFonts w:hint="default" w:ascii="Times New Roman" w:hAnsi="Times New Roman" w:eastAsia="黑体" w:cs="Times New Roman"/>
                <w:bCs/>
                <w:color w:val="000000"/>
                <w:sz w:val="21"/>
                <w:szCs w:val="18"/>
                <w:lang w:val="en-US" w:eastAsia="zh-CN"/>
              </w:rPr>
              <w:t>3</w:t>
            </w:r>
          </w:p>
        </w:tc>
        <w:tc>
          <w:tcPr>
            <w:tcW w:w="6459" w:type="dxa"/>
            <w:vAlign w:val="center"/>
          </w:tcPr>
          <w:p w14:paraId="6003D1C7">
            <w:r>
              <w:t>具有爱岗敬业、敢为人先的职业精神，以及强烈的社会责任感。</w:t>
            </w:r>
          </w:p>
          <w:p w14:paraId="0A8467D9">
            <w:pPr>
              <w:rPr>
                <w:rFonts w:hint="default" w:ascii="Times New Roman" w:hAnsi="Times New Roman" w:cs="Times New Roman"/>
                <w:bCs/>
              </w:rPr>
            </w:pPr>
            <w:r>
              <w:t>拥有创新精神和创业意识，能够适应养老服务行业的发展变化。</w:t>
            </w:r>
          </w:p>
        </w:tc>
      </w:tr>
      <w:tr w14:paraId="0BD6F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198" w:hRule="atLeast"/>
          <w:jc w:val="center"/>
        </w:trPr>
        <w:tc>
          <w:tcPr>
            <w:tcW w:w="1235" w:type="dxa"/>
            <w:vMerge w:val="continue"/>
            <w:vAlign w:val="center"/>
          </w:tcPr>
          <w:p w14:paraId="798D8BC8"/>
        </w:tc>
        <w:tc>
          <w:tcPr>
            <w:tcW w:w="782" w:type="dxa"/>
            <w:shd w:val="clear" w:color="auto" w:fill="auto"/>
            <w:vAlign w:val="center"/>
          </w:tcPr>
          <w:p w14:paraId="6D87CFAF">
            <w:pPr>
              <w:snapToGrid w:val="0"/>
              <w:jc w:val="center"/>
              <w:rPr>
                <w:rFonts w:hint="eastAsia" w:eastAsia="宋体"/>
                <w:lang w:val="en-US" w:eastAsia="zh-CN"/>
              </w:rPr>
            </w:pPr>
            <w:r>
              <w:rPr>
                <w:rFonts w:hint="eastAsia" w:ascii="Times New Roman" w:hAnsi="Times New Roman" w:eastAsia="黑体" w:cs="Times New Roman"/>
                <w:bCs/>
                <w:color w:val="000000"/>
                <w:sz w:val="21"/>
                <w:szCs w:val="18"/>
                <w:lang w:val="en-US" w:eastAsia="zh-CN"/>
              </w:rPr>
              <w:t>4</w:t>
            </w:r>
          </w:p>
        </w:tc>
        <w:tc>
          <w:tcPr>
            <w:tcW w:w="6459" w:type="dxa"/>
            <w:vAlign w:val="center"/>
          </w:tcPr>
          <w:p w14:paraId="3CC0DDCF">
            <w:r>
              <w:t>具备人文素养，满足个人学术愿望和职业期望，有终身学习和专业发展的意愿。</w:t>
            </w:r>
          </w:p>
          <w:p w14:paraId="5AEF6E9B">
            <w:r>
              <w:t>拥有国际化视野，能够积极参与全球养老服务的交流与合作。</w:t>
            </w:r>
          </w:p>
        </w:tc>
      </w:tr>
    </w:tbl>
    <w:p w14:paraId="2277B622">
      <w:pPr>
        <w:pStyle w:val="18"/>
        <w:spacing w:before="163" w:beforeLines="50" w:after="163"/>
        <w:rPr>
          <w:rFonts w:hint="default" w:ascii="Times New Roman" w:hAnsi="Times New Roman" w:cs="Times New Roman"/>
        </w:rPr>
      </w:pPr>
      <w:r>
        <w:rPr>
          <w:rFonts w:hint="default" w:ascii="Times New Roman" w:hAnsi="Times New Roman" w:cs="Times New Roman"/>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CB5EC0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EE5326B">
            <w:pPr>
              <w:pStyle w:val="1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bCs/>
              </w:rPr>
            </w:pPr>
            <w:r>
              <w:rPr>
                <w:rFonts w:hint="default" w:ascii="Times New Roman" w:hAnsi="Times New Roman" w:eastAsia="宋体" w:cs="Times New Roman"/>
                <w:color w:val="000000"/>
                <w:sz w:val="21"/>
                <w:szCs w:val="21"/>
                <w:lang w:val="en-US" w:eastAsia="zh-CN" w:bidi="ar-SA"/>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r>
              <w:rPr>
                <w:rFonts w:hint="eastAsia" w:ascii="Times New Roman" w:hAnsi="Times New Roman" w:eastAsia="宋体" w:cs="Times New Roman"/>
                <w:color w:val="000000"/>
                <w:sz w:val="21"/>
                <w:szCs w:val="21"/>
                <w:lang w:val="en-US" w:eastAsia="zh-CN" w:bidi="ar-SA"/>
              </w:rPr>
              <w:t>③</w:t>
            </w:r>
            <w:r>
              <w:rPr>
                <w:rFonts w:hint="default" w:ascii="Times New Roman" w:hAnsi="Times New Roman" w:eastAsia="宋体" w:cs="Times New Roman"/>
                <w:color w:val="000000"/>
                <w:sz w:val="21"/>
                <w:szCs w:val="21"/>
                <w:lang w:val="en-US" w:eastAsia="zh-CN" w:bidi="ar-SA"/>
              </w:rPr>
              <w:t>奉献社会，富有爱心，懂得感恩，自觉传承和弘扬雷锋精神，具有服务社会的意愿和行动，积极参加志愿者服务。</w:t>
            </w:r>
          </w:p>
        </w:tc>
      </w:tr>
      <w:tr w14:paraId="06B5E93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80D714E">
            <w:pPr>
              <w:keepNext w:val="0"/>
              <w:keepLines w:val="0"/>
              <w:pageBreakBefore w:val="0"/>
              <w:widowControl w:val="0"/>
              <w:tabs>
                <w:tab w:val="left" w:pos="4200"/>
              </w:tabs>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Cs/>
              </w:rPr>
            </w:pPr>
            <w:r>
              <w:rPr>
                <w:rFonts w:hint="default" w:ascii="Times New Roman" w:hAnsi="Times New Roman" w:eastAsia="宋体" w:cs="Times New Roman"/>
                <w:color w:val="000000"/>
                <w:sz w:val="21"/>
                <w:szCs w:val="21"/>
                <w:lang w:val="en-US" w:eastAsia="zh-CN" w:bidi="ar-SA"/>
              </w:rPr>
              <w:t>LO2专业能力：</w:t>
            </w:r>
            <w:r>
              <w:rPr>
                <w:rFonts w:hint="eastAsia" w:ascii="Times New Roman" w:hAnsi="Times New Roman" w:eastAsia="宋体" w:cs="Times New Roman"/>
                <w:color w:val="000000"/>
                <w:sz w:val="21"/>
                <w:szCs w:val="21"/>
                <w:lang w:val="en-US" w:eastAsia="zh-CN" w:bidi="ar-SA"/>
              </w:rPr>
              <w:t>掌握管理学、社会学、护理学等学科基础理论和专门知识，能够熟练运用养老机构经营管理、老年健康管理、老年照护等专业技能，具备现代养老服务管理的理念和素养。②健康评估能力：能全面评估老年人的身心、社会及精神方面的健康状态，具有健康监测、健康风险评估能力。</w:t>
            </w:r>
          </w:p>
        </w:tc>
      </w:tr>
      <w:tr w14:paraId="28D082A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C58027D">
            <w:pPr>
              <w:keepNext w:val="0"/>
              <w:keepLines w:val="0"/>
              <w:pageBreakBefore w:val="0"/>
              <w:widowControl w:val="0"/>
              <w:tabs>
                <w:tab w:val="left" w:pos="4200"/>
              </w:tabs>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Cs/>
              </w:rPr>
            </w:pPr>
            <w:r>
              <w:rPr>
                <w:rFonts w:hint="eastAsia" w:ascii="Times New Roman" w:hAnsi="Times New Roman" w:eastAsia="宋体" w:cs="Times New Roman"/>
                <w:color w:val="000000"/>
                <w:sz w:val="21"/>
                <w:szCs w:val="21"/>
                <w:lang w:val="en-US" w:eastAsia="zh-CN" w:bidi="ar-SA"/>
              </w:rPr>
              <w:t>LO2专业能力：掌握管理学、社会学、护理学等学科基础理论和专门知识，能够熟练运用养老机构经营管理、老年健康管理、老年照护等专业技能，具备现代养老服务管理的理念和素养。⑤健康教育能力：能确定老年人的健康需求，并采用合适的健康教育策略。</w:t>
            </w:r>
          </w:p>
        </w:tc>
      </w:tr>
    </w:tbl>
    <w:p w14:paraId="0FA6AD77">
      <w:pPr>
        <w:pStyle w:val="18"/>
        <w:spacing w:before="163" w:beforeLines="50" w:after="163"/>
        <w:rPr>
          <w:rFonts w:hint="default" w:ascii="Times New Roman" w:hAnsi="Times New Roman" w:cs="Times New Roman"/>
        </w:rPr>
      </w:pPr>
      <w:r>
        <w:rPr>
          <w:rFonts w:hint="default" w:ascii="Times New Roman" w:hAnsi="Times New Roman" w:cs="Times New Roman"/>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6C78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9F96EBD">
            <w:pPr>
              <w:pStyle w:val="14"/>
              <w:rPr>
                <w:rFonts w:hint="default" w:ascii="Times New Roman" w:hAnsi="Times New Roman" w:cs="Times New Roman"/>
                <w:szCs w:val="16"/>
              </w:rPr>
            </w:pPr>
            <w:r>
              <w:rPr>
                <w:rFonts w:hint="default" w:ascii="Times New Roman" w:hAnsi="Times New Roman" w:cs="Times New Roman"/>
                <w:szCs w:val="18"/>
              </w:rPr>
              <w:t>毕业要求</w:t>
            </w:r>
          </w:p>
        </w:tc>
        <w:tc>
          <w:tcPr>
            <w:tcW w:w="794" w:type="dxa"/>
            <w:tcBorders>
              <w:top w:val="single" w:color="auto" w:sz="12" w:space="0"/>
              <w:left w:val="single" w:color="auto" w:sz="4" w:space="0"/>
            </w:tcBorders>
            <w:vAlign w:val="center"/>
          </w:tcPr>
          <w:p w14:paraId="6DCA7239">
            <w:pPr>
              <w:pStyle w:val="14"/>
              <w:rPr>
                <w:rFonts w:hint="default" w:ascii="Times New Roman" w:hAnsi="Times New Roman" w:cs="Times New Roman"/>
                <w:szCs w:val="16"/>
              </w:rPr>
            </w:pPr>
            <w:r>
              <w:rPr>
                <w:rFonts w:hint="default" w:ascii="Times New Roman" w:hAnsi="Times New Roman" w:cs="Times New Roman"/>
                <w:szCs w:val="16"/>
              </w:rPr>
              <w:t>指标点</w:t>
            </w:r>
          </w:p>
        </w:tc>
        <w:tc>
          <w:tcPr>
            <w:tcW w:w="794" w:type="dxa"/>
            <w:tcBorders>
              <w:top w:val="single" w:color="auto" w:sz="12" w:space="0"/>
              <w:right w:val="double" w:color="auto" w:sz="4" w:space="0"/>
            </w:tcBorders>
            <w:shd w:val="clear" w:color="auto" w:fill="auto"/>
            <w:vAlign w:val="center"/>
          </w:tcPr>
          <w:p w14:paraId="0CBA54CB">
            <w:pPr>
              <w:pStyle w:val="14"/>
              <w:rPr>
                <w:rFonts w:hint="default" w:ascii="Times New Roman" w:hAnsi="Times New Roman" w:cs="Times New Roman"/>
                <w:szCs w:val="16"/>
              </w:rPr>
            </w:pPr>
            <w:r>
              <w:rPr>
                <w:rFonts w:hint="default" w:ascii="Times New Roman" w:hAnsi="Times New Roman" w:cs="Times New Roman"/>
                <w:szCs w:val="16"/>
              </w:rPr>
              <w:t>支撑度</w:t>
            </w:r>
          </w:p>
        </w:tc>
        <w:tc>
          <w:tcPr>
            <w:tcW w:w="4763" w:type="dxa"/>
            <w:tcBorders>
              <w:top w:val="single" w:color="auto" w:sz="12" w:space="0"/>
            </w:tcBorders>
            <w:vAlign w:val="center"/>
          </w:tcPr>
          <w:p w14:paraId="571A4885">
            <w:pPr>
              <w:pStyle w:val="14"/>
              <w:rPr>
                <w:rFonts w:hint="default" w:ascii="Times New Roman" w:hAnsi="Times New Roman" w:cs="Times New Roman"/>
                <w:szCs w:val="16"/>
              </w:rPr>
            </w:pPr>
            <w:r>
              <w:rPr>
                <w:rFonts w:hint="default" w:ascii="Times New Roman" w:hAnsi="Times New Roman" w:cs="Times New Roman"/>
                <w:szCs w:val="16"/>
              </w:rPr>
              <w:t>课程目标</w:t>
            </w:r>
          </w:p>
        </w:tc>
        <w:tc>
          <w:tcPr>
            <w:tcW w:w="1348" w:type="dxa"/>
            <w:tcBorders>
              <w:top w:val="single" w:color="auto" w:sz="12" w:space="0"/>
              <w:right w:val="single" w:color="auto" w:sz="12" w:space="0"/>
            </w:tcBorders>
            <w:vAlign w:val="center"/>
          </w:tcPr>
          <w:p w14:paraId="1254E0DA">
            <w:pPr>
              <w:pStyle w:val="14"/>
              <w:rPr>
                <w:rFonts w:hint="default" w:ascii="Times New Roman" w:hAnsi="Times New Roman" w:cs="Times New Roman"/>
                <w:szCs w:val="16"/>
              </w:rPr>
            </w:pPr>
            <w:r>
              <w:rPr>
                <w:rFonts w:hint="default" w:ascii="Times New Roman" w:hAnsi="Times New Roman" w:cs="Times New Roman"/>
                <w:szCs w:val="16"/>
              </w:rPr>
              <w:t>对指标点的贡献度</w:t>
            </w:r>
          </w:p>
        </w:tc>
      </w:tr>
      <w:tr w14:paraId="5354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tcBorders>
              <w:left w:val="single" w:color="auto" w:sz="12" w:space="0"/>
              <w:right w:val="single" w:color="auto" w:sz="4" w:space="0"/>
            </w:tcBorders>
            <w:shd w:val="clear" w:color="auto" w:fill="auto"/>
            <w:vAlign w:val="center"/>
          </w:tcPr>
          <w:p w14:paraId="56499C4D">
            <w:pPr>
              <w:pStyle w:val="15"/>
              <w:rPr>
                <w:rFonts w:hint="default" w:ascii="Times New Roman" w:hAnsi="Times New Roman" w:eastAsia="宋体" w:cs="Times New Roman"/>
                <w:lang w:val="en-US" w:eastAsia="zh-CN"/>
              </w:rPr>
            </w:pPr>
            <w:r>
              <w:rPr>
                <w:rFonts w:hint="default" w:ascii="Times New Roman" w:hAnsi="Times New Roman" w:cs="Times New Roman"/>
                <w:lang w:val="en-US" w:eastAsia="zh-CN"/>
              </w:rPr>
              <w:t>LO1</w:t>
            </w:r>
          </w:p>
        </w:tc>
        <w:tc>
          <w:tcPr>
            <w:tcW w:w="794" w:type="dxa"/>
            <w:tcBorders>
              <w:left w:val="single" w:color="auto" w:sz="4" w:space="0"/>
            </w:tcBorders>
            <w:vAlign w:val="center"/>
          </w:tcPr>
          <w:p w14:paraId="21C48CE7">
            <w:pPr>
              <w:pStyle w:val="15"/>
              <w:rPr>
                <w:rFonts w:hint="default" w:ascii="Times New Roman" w:hAnsi="Times New Roman" w:eastAsia="宋体" w:cs="Times New Roman"/>
                <w:bCs/>
                <w:lang w:val="en-US" w:eastAsia="zh-CN"/>
              </w:rPr>
            </w:pPr>
            <w:r>
              <w:rPr>
                <w:rFonts w:hint="eastAsia" w:ascii="Times New Roman" w:hAnsi="Times New Roman" w:eastAsia="宋体" w:cs="Times New Roman"/>
                <w:color w:val="000000"/>
                <w:sz w:val="21"/>
                <w:szCs w:val="21"/>
                <w:lang w:val="en-US" w:eastAsia="zh-CN" w:bidi="ar-SA"/>
              </w:rPr>
              <w:t>③</w:t>
            </w:r>
          </w:p>
        </w:tc>
        <w:tc>
          <w:tcPr>
            <w:tcW w:w="794" w:type="dxa"/>
            <w:tcBorders>
              <w:right w:val="double" w:color="auto" w:sz="4" w:space="0"/>
            </w:tcBorders>
            <w:shd w:val="clear" w:color="auto" w:fill="auto"/>
            <w:vAlign w:val="center"/>
          </w:tcPr>
          <w:p w14:paraId="0E9232FA">
            <w:pPr>
              <w:pStyle w:val="15"/>
              <w:rPr>
                <w:rFonts w:hint="default" w:ascii="Times New Roman" w:hAnsi="Times New Roman" w:eastAsia="宋体" w:cs="Times New Roman"/>
                <w:lang w:val="en-US" w:eastAsia="zh-CN"/>
              </w:rPr>
            </w:pPr>
            <w:r>
              <w:rPr>
                <w:rFonts w:hint="default" w:ascii="Times New Roman" w:hAnsi="Times New Roman" w:cs="Times New Roman"/>
                <w:lang w:val="en-US" w:eastAsia="zh-CN"/>
              </w:rPr>
              <w:t>M</w:t>
            </w:r>
          </w:p>
        </w:tc>
        <w:tc>
          <w:tcPr>
            <w:tcW w:w="4763" w:type="dxa"/>
            <w:vAlign w:val="center"/>
          </w:tcPr>
          <w:p w14:paraId="4915D36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具有爱岗敬业、敢为人先的职业精神，以及强烈的社会责任感。</w:t>
            </w:r>
          </w:p>
          <w:p w14:paraId="626DB78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拥有创新精神和创业意识，能够适应养老服务行业的发展变化。</w:t>
            </w:r>
          </w:p>
          <w:p w14:paraId="167E77E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具备人文素养，满足个人学术愿望和职业期望，有终身学习和专业发展的意愿。</w:t>
            </w:r>
          </w:p>
          <w:p w14:paraId="201A6C27">
            <w:pPr>
              <w:keepNext w:val="0"/>
              <w:keepLines w:val="0"/>
              <w:widowControl/>
              <w:suppressLineNumbers w:val="0"/>
              <w:jc w:val="left"/>
              <w:textAlignment w:val="center"/>
              <w:rPr>
                <w:rFonts w:hint="default" w:ascii="Times New Roman" w:hAnsi="Times New Roman" w:eastAsia="宋体" w:cs="Times New Roman"/>
                <w:bCs/>
                <w:lang w:val="en-US" w:eastAsia="zh-CN"/>
              </w:rPr>
            </w:pPr>
            <w:r>
              <w:rPr>
                <w:rFonts w:hint="default" w:ascii="Times New Roman" w:hAnsi="Times New Roman" w:eastAsia="宋体" w:cs="Times New Roman"/>
                <w:i w:val="0"/>
                <w:iCs w:val="0"/>
                <w:color w:val="000000"/>
                <w:kern w:val="0"/>
                <w:sz w:val="22"/>
                <w:szCs w:val="22"/>
                <w:u w:val="none"/>
                <w:lang w:val="en-US" w:eastAsia="zh-CN" w:bidi="ar"/>
              </w:rPr>
              <w:t>拥有国际化视野，能够积极参与全球养老服务的交流与合作。</w:t>
            </w:r>
          </w:p>
        </w:tc>
        <w:tc>
          <w:tcPr>
            <w:tcW w:w="1348" w:type="dxa"/>
            <w:tcBorders>
              <w:right w:val="single" w:color="auto" w:sz="12" w:space="0"/>
            </w:tcBorders>
            <w:vAlign w:val="center"/>
          </w:tcPr>
          <w:p w14:paraId="5F6CF2E9">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14:paraId="4C67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F895A2C">
            <w:pPr>
              <w:pStyle w:val="15"/>
              <w:rPr>
                <w:rFonts w:hint="default" w:ascii="Times New Roman" w:hAnsi="Times New Roman" w:eastAsia="宋体" w:cs="Times New Roman"/>
                <w:lang w:val="en-US" w:eastAsia="zh-CN"/>
              </w:rPr>
            </w:pPr>
            <w:r>
              <w:rPr>
                <w:rFonts w:hint="default" w:ascii="Times New Roman" w:hAnsi="Times New Roman" w:eastAsia="宋体" w:cs="Times New Roman"/>
                <w:color w:val="000000"/>
                <w:sz w:val="21"/>
                <w:szCs w:val="21"/>
                <w:lang w:val="en-US" w:eastAsia="zh-CN" w:bidi="ar-SA"/>
              </w:rPr>
              <w:t>LO2</w:t>
            </w:r>
          </w:p>
        </w:tc>
        <w:tc>
          <w:tcPr>
            <w:tcW w:w="794" w:type="dxa"/>
            <w:tcBorders>
              <w:left w:val="single" w:color="auto" w:sz="4" w:space="0"/>
            </w:tcBorders>
            <w:vAlign w:val="center"/>
          </w:tcPr>
          <w:p w14:paraId="50287114">
            <w:pPr>
              <w:pStyle w:val="15"/>
              <w:rPr>
                <w:rFonts w:hint="default" w:ascii="Times New Roman" w:hAnsi="Times New Roman" w:eastAsia="宋体" w:cs="Times New Roman"/>
                <w:bCs/>
                <w:lang w:val="en-US" w:eastAsia="zh-CN"/>
              </w:rPr>
            </w:pPr>
            <w:r>
              <w:rPr>
                <w:rFonts w:hint="eastAsia" w:ascii="Times New Roman" w:hAnsi="Times New Roman" w:eastAsia="宋体" w:cs="Times New Roman"/>
                <w:color w:val="000000"/>
                <w:sz w:val="21"/>
                <w:szCs w:val="21"/>
                <w:lang w:val="en-US" w:eastAsia="zh-CN" w:bidi="ar-SA"/>
              </w:rPr>
              <w:t>②</w:t>
            </w:r>
          </w:p>
        </w:tc>
        <w:tc>
          <w:tcPr>
            <w:tcW w:w="794" w:type="dxa"/>
            <w:tcBorders>
              <w:right w:val="double" w:color="auto" w:sz="4" w:space="0"/>
            </w:tcBorders>
            <w:shd w:val="clear" w:color="auto" w:fill="auto"/>
            <w:vAlign w:val="center"/>
          </w:tcPr>
          <w:p w14:paraId="75A3BFE2">
            <w:pPr>
              <w:pStyle w:val="15"/>
              <w:rPr>
                <w:rFonts w:hint="default" w:ascii="Times New Roman" w:hAnsi="Times New Roman" w:cs="Times New Roman"/>
                <w:lang w:val="en-US" w:eastAsia="zh-CN"/>
              </w:rPr>
            </w:pPr>
            <w:r>
              <w:rPr>
                <w:rFonts w:hint="default" w:ascii="Times New Roman" w:hAnsi="Times New Roman" w:cs="Times New Roman"/>
                <w:lang w:val="en-US" w:eastAsia="zh-CN"/>
              </w:rPr>
              <w:t>H</w:t>
            </w:r>
          </w:p>
        </w:tc>
        <w:tc>
          <w:tcPr>
            <w:tcW w:w="4763" w:type="dxa"/>
            <w:vAlign w:val="center"/>
          </w:tcPr>
          <w:p w14:paraId="0A300EC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能在现代养老服务领域开展与本专业相关的工作，具备研发能力、创新意识和团队精神。</w:t>
            </w:r>
          </w:p>
          <w:p w14:paraId="5259D50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掌握发现并致力解决老年人群生理、心理、社会需求问题的专业技能。</w:t>
            </w:r>
          </w:p>
          <w:p w14:paraId="2513CE1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具备与国际国内同行、客户进行沟通的能力，以及跨文化交流合作的技能。</w:t>
            </w:r>
          </w:p>
        </w:tc>
        <w:tc>
          <w:tcPr>
            <w:tcW w:w="1348" w:type="dxa"/>
            <w:tcBorders>
              <w:right w:val="single" w:color="auto" w:sz="12" w:space="0"/>
            </w:tcBorders>
            <w:vAlign w:val="center"/>
          </w:tcPr>
          <w:p w14:paraId="17D9343D">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r w14:paraId="1C1B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636FE52B">
            <w:pPr>
              <w:pStyle w:val="15"/>
              <w:rPr>
                <w:rFonts w:hint="default" w:ascii="Times New Roman" w:hAnsi="Times New Roman" w:cs="Times New Roman"/>
                <w:lang w:val="en-US" w:eastAsia="zh-CN"/>
              </w:rPr>
            </w:pPr>
            <w:r>
              <w:rPr>
                <w:rFonts w:hint="default" w:ascii="Times New Roman" w:hAnsi="Times New Roman" w:eastAsia="宋体" w:cs="Times New Roman"/>
                <w:color w:val="000000"/>
                <w:sz w:val="21"/>
                <w:szCs w:val="21"/>
                <w:lang w:val="en-US" w:eastAsia="zh-CN" w:bidi="ar-SA"/>
              </w:rPr>
              <w:t>LO2</w:t>
            </w:r>
          </w:p>
        </w:tc>
        <w:tc>
          <w:tcPr>
            <w:tcW w:w="794" w:type="dxa"/>
            <w:tcBorders>
              <w:left w:val="single" w:color="auto" w:sz="4" w:space="0"/>
            </w:tcBorders>
            <w:vAlign w:val="center"/>
          </w:tcPr>
          <w:p w14:paraId="58A9F31D">
            <w:pPr>
              <w:pStyle w:val="15"/>
              <w:rPr>
                <w:rFonts w:hint="default" w:ascii="Times New Roman" w:hAnsi="Times New Roman" w:cs="Times New Roman"/>
                <w:bCs/>
                <w:lang w:val="en-US" w:eastAsia="zh-CN"/>
              </w:rPr>
            </w:pPr>
            <w:r>
              <w:rPr>
                <w:rFonts w:hint="eastAsia" w:ascii="Times New Roman" w:hAnsi="Times New Roman" w:eastAsia="宋体" w:cs="Times New Roman"/>
                <w:color w:val="000000"/>
                <w:sz w:val="21"/>
                <w:szCs w:val="21"/>
                <w:lang w:val="en-US" w:eastAsia="zh-CN" w:bidi="ar-SA"/>
              </w:rPr>
              <w:t>⑤</w:t>
            </w:r>
          </w:p>
        </w:tc>
        <w:tc>
          <w:tcPr>
            <w:tcW w:w="794" w:type="dxa"/>
            <w:tcBorders>
              <w:right w:val="double" w:color="auto" w:sz="4" w:space="0"/>
            </w:tcBorders>
            <w:shd w:val="clear" w:color="auto" w:fill="auto"/>
            <w:vAlign w:val="center"/>
          </w:tcPr>
          <w:p w14:paraId="28B3CBE7">
            <w:pPr>
              <w:pStyle w:val="15"/>
              <w:rPr>
                <w:rFonts w:hint="default" w:ascii="Times New Roman" w:hAnsi="Times New Roman" w:cs="Times New Roman"/>
                <w:lang w:val="en-US" w:eastAsia="zh-CN"/>
              </w:rPr>
            </w:pPr>
            <w:r>
              <w:rPr>
                <w:rFonts w:hint="default" w:ascii="Times New Roman" w:hAnsi="Times New Roman" w:cs="Times New Roman"/>
                <w:lang w:val="en-US" w:eastAsia="zh-CN"/>
              </w:rPr>
              <w:t>H</w:t>
            </w:r>
          </w:p>
        </w:tc>
        <w:tc>
          <w:tcPr>
            <w:tcW w:w="4763" w:type="dxa"/>
            <w:vAlign w:val="center"/>
          </w:tcPr>
          <w:p w14:paraId="028A5A4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能在现代养老服务领域开展与本专业相关的工作，具备研发能力、创新意识和团队精神。</w:t>
            </w:r>
          </w:p>
          <w:p w14:paraId="2BDC0F9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掌握发现并致力解决老年人群生理、心理、社会需求问题的专业技能。</w:t>
            </w:r>
          </w:p>
          <w:p w14:paraId="12C9DFD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具备与国际国内同行、客户进行沟通的能力，以及跨文化交流合作的技能。</w:t>
            </w:r>
          </w:p>
        </w:tc>
        <w:tc>
          <w:tcPr>
            <w:tcW w:w="1348" w:type="dxa"/>
            <w:tcBorders>
              <w:right w:val="single" w:color="auto" w:sz="12" w:space="0"/>
            </w:tcBorders>
            <w:vAlign w:val="center"/>
          </w:tcPr>
          <w:p w14:paraId="7B012936">
            <w:pPr>
              <w:pStyle w:val="15"/>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100%</w:t>
            </w:r>
          </w:p>
        </w:tc>
      </w:tr>
    </w:tbl>
    <w:p w14:paraId="27F2D14B">
      <w:pPr>
        <w:pStyle w:val="17"/>
        <w:spacing w:before="326" w:beforeLines="100" w:line="360" w:lineRule="auto"/>
        <w:rPr>
          <w:rFonts w:hint="default" w:ascii="Times New Roman" w:hAnsi="Times New Roman" w:cs="Times New Roman"/>
        </w:rPr>
      </w:pPr>
      <w:r>
        <w:rPr>
          <w:rFonts w:hint="default" w:ascii="Times New Roman" w:hAnsi="Times New Roman" w:cs="Times New Roman"/>
        </w:rPr>
        <w:t>三、课程内容与教学设计</w:t>
      </w:r>
    </w:p>
    <w:p w14:paraId="215D1476">
      <w:pPr>
        <w:pStyle w:val="18"/>
        <w:spacing w:before="81" w:after="163"/>
        <w:rPr>
          <w:rFonts w:hint="default" w:ascii="Times New Roman" w:hAnsi="Times New Roman" w:cs="Times New Roman"/>
        </w:rPr>
      </w:pPr>
      <w:r>
        <w:rPr>
          <w:rFonts w:hint="default" w:ascii="Times New Roman" w:hAnsi="Times New Roman" w:cs="Times New Roman"/>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FC44F5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3A29F12">
            <w:pPr>
              <w:widowControl w:val="0"/>
              <w:jc w:val="both"/>
              <w:rPr>
                <w:rFonts w:hint="eastAsia" w:eastAsiaTheme="minorEastAsia"/>
                <w:sz w:val="21"/>
                <w:szCs w:val="21"/>
                <w:lang w:eastAsia="zh-CN"/>
              </w:rPr>
            </w:pPr>
            <w:bookmarkStart w:id="0" w:name="OLE_LINK5"/>
            <w:bookmarkStart w:id="1" w:name="OLE_LINK6"/>
            <w:r>
              <w:rPr>
                <w:rFonts w:hint="default"/>
                <w:b/>
                <w:bCs/>
                <w:sz w:val="21"/>
                <w:szCs w:val="21"/>
              </w:rPr>
              <w:t xml:space="preserve"> 一、慢性病概述</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慢性病的概念。</w:t>
            </w:r>
            <w:r>
              <w:rPr>
                <w:sz w:val="21"/>
                <w:szCs w:val="21"/>
              </w:rPr>
              <w:br w:type="textWrapping"/>
            </w:r>
            <w:r>
              <w:rPr>
                <w:rFonts w:hint="default"/>
                <w:sz w:val="21"/>
                <w:szCs w:val="21"/>
              </w:rPr>
              <w:t xml:space="preserve">  2. 慢性病特点、危险因素、流行现状和危害。</w:t>
            </w:r>
            <w:r>
              <w:rPr>
                <w:sz w:val="21"/>
                <w:szCs w:val="21"/>
              </w:rPr>
              <w:br w:type="textWrapping"/>
            </w:r>
            <w:r>
              <w:rPr>
                <w:rFonts w:hint="default"/>
                <w:sz w:val="21"/>
                <w:szCs w:val="21"/>
              </w:rPr>
              <w:t xml:space="preserve">  3. 慢性病防控的财政和健康收益。</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理解慢性病的特点、流行现状及其广泛的危害性。</w:t>
            </w:r>
            <w:r>
              <w:rPr>
                <w:sz w:val="21"/>
                <w:szCs w:val="21"/>
              </w:rPr>
              <w:br w:type="textWrapping"/>
            </w:r>
            <w:r>
              <w:rPr>
                <w:rFonts w:hint="default"/>
                <w:sz w:val="21"/>
                <w:szCs w:val="21"/>
              </w:rPr>
              <w:t xml:space="preserve">  2. 认知慢性病防控的财政和健康收益，以及预防工作的重要性。</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学生能够理解慢性病的定义，并能够初步判断慢性病类型。</w:t>
            </w:r>
            <w:r>
              <w:rPr>
                <w:sz w:val="21"/>
                <w:szCs w:val="21"/>
              </w:rPr>
              <w:br w:type="textWrapping"/>
            </w:r>
            <w:r>
              <w:rPr>
                <w:rFonts w:hint="default"/>
                <w:sz w:val="21"/>
                <w:szCs w:val="21"/>
              </w:rPr>
              <w:t xml:space="preserve">  2. 认识到慢性病防控的重要性，并理解其在健康管理中的作用。</w:t>
            </w:r>
            <w:r>
              <w:rPr>
                <w:sz w:val="21"/>
                <w:szCs w:val="21"/>
              </w:rPr>
              <w:br w:type="textWrapping"/>
            </w:r>
            <w:r>
              <w:rPr>
                <w:rFonts w:hint="default"/>
                <w:sz w:val="21"/>
                <w:szCs w:val="21"/>
              </w:rPr>
              <w:t xml:space="preserve">  3. 通过学习增强“敬佑生命”的意识。</w:t>
            </w:r>
          </w:p>
          <w:p w14:paraId="7A2D594D">
            <w:pPr>
              <w:widowControl w:val="0"/>
              <w:jc w:val="both"/>
              <w:rPr>
                <w:rFonts w:hint="eastAsia" w:eastAsiaTheme="minorEastAsia"/>
                <w:sz w:val="21"/>
                <w:szCs w:val="21"/>
                <w:lang w:eastAsia="zh-CN"/>
              </w:rPr>
            </w:pPr>
            <w:r>
              <w:rPr>
                <w:sz w:val="21"/>
                <w:szCs w:val="21"/>
              </w:rPr>
              <w:br w:type="textWrapping"/>
            </w:r>
            <w:r>
              <w:rPr>
                <w:rFonts w:hint="default"/>
                <w:b/>
                <w:bCs/>
                <w:sz w:val="21"/>
                <w:szCs w:val="21"/>
              </w:rPr>
              <w:t xml:space="preserve"> 二、慢性病社区防治与管理</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慢性病社区管理的基础、原则、内容、主体。</w:t>
            </w:r>
            <w:r>
              <w:rPr>
                <w:sz w:val="21"/>
                <w:szCs w:val="21"/>
              </w:rPr>
              <w:br w:type="textWrapping"/>
            </w:r>
            <w:r>
              <w:rPr>
                <w:rFonts w:hint="default"/>
                <w:sz w:val="21"/>
                <w:szCs w:val="21"/>
              </w:rPr>
              <w:t xml:space="preserve">  2. 社区管理的优势与核心要义。</w:t>
            </w:r>
            <w:r>
              <w:rPr>
                <w:sz w:val="21"/>
                <w:szCs w:val="21"/>
              </w:rPr>
              <w:br w:type="textWrapping"/>
            </w:r>
            <w:r>
              <w:rPr>
                <w:rFonts w:hint="default"/>
                <w:sz w:val="21"/>
                <w:szCs w:val="21"/>
              </w:rPr>
              <w:t xml:space="preserve">  3. 慢性病管理的流程与模式。</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慢性病管理的流程，如何进行定期随访。</w:t>
            </w:r>
            <w:r>
              <w:rPr>
                <w:sz w:val="21"/>
                <w:szCs w:val="21"/>
              </w:rPr>
              <w:br w:type="textWrapping"/>
            </w:r>
            <w:r>
              <w:rPr>
                <w:rFonts w:hint="default"/>
                <w:sz w:val="21"/>
                <w:szCs w:val="21"/>
              </w:rPr>
              <w:t xml:space="preserve">  2. 如何根据患者病情设计社区管理方案。</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根据病史与临床表现初步判断是否需要进行慢性病管理。</w:t>
            </w:r>
            <w:r>
              <w:rPr>
                <w:sz w:val="21"/>
                <w:szCs w:val="21"/>
              </w:rPr>
              <w:br w:type="textWrapping"/>
            </w:r>
            <w:r>
              <w:rPr>
                <w:rFonts w:hint="default"/>
                <w:sz w:val="21"/>
                <w:szCs w:val="21"/>
              </w:rPr>
              <w:t xml:space="preserve">  2. 掌握慢性病管理的流程，能够进行健康教育与管理。</w:t>
            </w:r>
            <w:r>
              <w:rPr>
                <w:sz w:val="21"/>
                <w:szCs w:val="21"/>
              </w:rPr>
              <w:br w:type="textWrapping"/>
            </w:r>
            <w:r>
              <w:rPr>
                <w:rFonts w:hint="default"/>
                <w:sz w:val="21"/>
                <w:szCs w:val="21"/>
              </w:rPr>
              <w:t xml:space="preserve">  3. 通过学习增强“救死扶伤”的意识。</w:t>
            </w:r>
          </w:p>
          <w:p w14:paraId="4D5B1A23">
            <w:pPr>
              <w:widowControl w:val="0"/>
              <w:jc w:val="both"/>
              <w:rPr>
                <w:rFonts w:hint="eastAsia" w:eastAsiaTheme="minorEastAsia"/>
                <w:sz w:val="21"/>
                <w:szCs w:val="21"/>
                <w:lang w:eastAsia="zh-CN"/>
              </w:rPr>
            </w:pPr>
            <w:r>
              <w:rPr>
                <w:sz w:val="21"/>
                <w:szCs w:val="21"/>
              </w:rPr>
              <w:br w:type="textWrapping"/>
            </w:r>
            <w:r>
              <w:rPr>
                <w:rFonts w:hint="default"/>
                <w:b/>
                <w:bCs/>
                <w:sz w:val="21"/>
                <w:szCs w:val="21"/>
              </w:rPr>
              <w:t xml:space="preserve"> 三、慢性病社区健康教育</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健康教育的概念与要求。</w:t>
            </w:r>
            <w:r>
              <w:rPr>
                <w:sz w:val="21"/>
                <w:szCs w:val="21"/>
              </w:rPr>
              <w:br w:type="textWrapping"/>
            </w:r>
            <w:r>
              <w:rPr>
                <w:rFonts w:hint="default"/>
                <w:sz w:val="21"/>
                <w:szCs w:val="21"/>
              </w:rPr>
              <w:t xml:space="preserve">  2. 慢性病社区健康教育的制定、流程与原则。</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根据社区实际情况，制定健康教育方案并进行实施。</w:t>
            </w:r>
            <w:r>
              <w:rPr>
                <w:sz w:val="21"/>
                <w:szCs w:val="21"/>
              </w:rPr>
              <w:br w:type="textWrapping"/>
            </w:r>
            <w:r>
              <w:rPr>
                <w:rFonts w:hint="default"/>
                <w:sz w:val="21"/>
                <w:szCs w:val="21"/>
              </w:rPr>
              <w:t xml:space="preserve">  2. 如何设计健康教育内容，满足不同社区需求。</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根据社区慢性病的情况，制定相应的健康教育计划。</w:t>
            </w:r>
            <w:r>
              <w:rPr>
                <w:sz w:val="21"/>
                <w:szCs w:val="21"/>
              </w:rPr>
              <w:br w:type="textWrapping"/>
            </w:r>
            <w:r>
              <w:rPr>
                <w:rFonts w:hint="default"/>
                <w:sz w:val="21"/>
                <w:szCs w:val="21"/>
              </w:rPr>
              <w:t xml:space="preserve">  2. 掌握如何进行健康教育实施与评估。</w:t>
            </w:r>
            <w:r>
              <w:rPr>
                <w:sz w:val="21"/>
                <w:szCs w:val="21"/>
              </w:rPr>
              <w:br w:type="textWrapping"/>
            </w:r>
            <w:r>
              <w:rPr>
                <w:rFonts w:hint="default"/>
                <w:sz w:val="21"/>
                <w:szCs w:val="21"/>
              </w:rPr>
              <w:t xml:space="preserve">  3. 通过学习强化“医者仁心”的意识，培育“预防为主，早发现，早诊断，早治疗”的精神。</w:t>
            </w:r>
          </w:p>
          <w:p w14:paraId="65558670">
            <w:pPr>
              <w:widowControl w:val="0"/>
              <w:jc w:val="both"/>
              <w:rPr>
                <w:rFonts w:hint="eastAsia" w:eastAsiaTheme="minorEastAsia"/>
                <w:sz w:val="21"/>
                <w:szCs w:val="21"/>
                <w:lang w:eastAsia="zh-CN"/>
              </w:rPr>
            </w:pPr>
            <w:r>
              <w:rPr>
                <w:sz w:val="21"/>
                <w:szCs w:val="21"/>
              </w:rPr>
              <w:br w:type="textWrapping"/>
            </w:r>
            <w:r>
              <w:rPr>
                <w:rFonts w:hint="default"/>
                <w:b/>
                <w:bCs/>
                <w:sz w:val="21"/>
                <w:szCs w:val="21"/>
              </w:rPr>
              <w:t xml:space="preserve"> 四、健康管理概述</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健康管理相关概念与发展。</w:t>
            </w:r>
            <w:r>
              <w:rPr>
                <w:sz w:val="21"/>
                <w:szCs w:val="21"/>
              </w:rPr>
              <w:br w:type="textWrapping"/>
            </w:r>
            <w:r>
              <w:rPr>
                <w:rFonts w:hint="default"/>
                <w:sz w:val="21"/>
                <w:szCs w:val="21"/>
              </w:rPr>
              <w:t xml:space="preserve">  2. 健康管理的基本步骤、工作流程及我国现状。</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健康管理的整体流程及其在日常实践中的应用。</w:t>
            </w:r>
            <w:r>
              <w:rPr>
                <w:sz w:val="21"/>
                <w:szCs w:val="21"/>
              </w:rPr>
              <w:br w:type="textWrapping"/>
            </w:r>
            <w:r>
              <w:rPr>
                <w:rFonts w:hint="default"/>
                <w:sz w:val="21"/>
                <w:szCs w:val="21"/>
              </w:rPr>
              <w:t xml:space="preserve">  2. 健康管理在我国的现状及其改进方向。</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认识健康管理的重要性，并能将所学知识应用于实际健康管理工作中。</w:t>
            </w:r>
            <w:r>
              <w:rPr>
                <w:sz w:val="21"/>
                <w:szCs w:val="21"/>
              </w:rPr>
              <w:br w:type="textWrapping"/>
            </w:r>
            <w:r>
              <w:rPr>
                <w:rFonts w:hint="default"/>
                <w:sz w:val="21"/>
                <w:szCs w:val="21"/>
              </w:rPr>
              <w:t xml:space="preserve">  2. 掌握健康管理的基本步骤及流程，理解其实施的意义。</w:t>
            </w:r>
          </w:p>
          <w:p w14:paraId="4078C292">
            <w:pPr>
              <w:widowControl w:val="0"/>
              <w:jc w:val="both"/>
              <w:rPr>
                <w:rFonts w:hint="eastAsia" w:eastAsiaTheme="minorEastAsia"/>
                <w:sz w:val="21"/>
                <w:szCs w:val="21"/>
                <w:lang w:eastAsia="zh-CN"/>
              </w:rPr>
            </w:pPr>
            <w:r>
              <w:rPr>
                <w:sz w:val="21"/>
                <w:szCs w:val="21"/>
              </w:rPr>
              <w:br w:type="textWrapping"/>
            </w:r>
            <w:r>
              <w:rPr>
                <w:rFonts w:hint="default"/>
                <w:b/>
                <w:bCs/>
                <w:sz w:val="21"/>
                <w:szCs w:val="21"/>
              </w:rPr>
              <w:t xml:space="preserve"> 五、健康体检</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健康体检的概念、基本内容、项目选择、信息采集、异常结果的识别。</w:t>
            </w:r>
            <w:r>
              <w:rPr>
                <w:sz w:val="21"/>
                <w:szCs w:val="21"/>
              </w:rPr>
              <w:br w:type="textWrapping"/>
            </w:r>
            <w:r>
              <w:rPr>
                <w:rFonts w:hint="default"/>
                <w:sz w:val="21"/>
                <w:szCs w:val="21"/>
              </w:rPr>
              <w:t xml:space="preserve">  2. 体检的注意事项与后续处理。</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如何判断体检中的异常结果，并给出有效的建议。</w:t>
            </w:r>
            <w:r>
              <w:rPr>
                <w:sz w:val="21"/>
                <w:szCs w:val="21"/>
              </w:rPr>
              <w:br w:type="textWrapping"/>
            </w:r>
            <w:r>
              <w:rPr>
                <w:rFonts w:hint="default"/>
                <w:sz w:val="21"/>
                <w:szCs w:val="21"/>
              </w:rPr>
              <w:t xml:space="preserve">  2. 如何理解体检数据，做出科学分析。</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认识体检的重要性，能够采集相关信息，并识别异常结果。</w:t>
            </w:r>
            <w:r>
              <w:rPr>
                <w:sz w:val="21"/>
                <w:szCs w:val="21"/>
              </w:rPr>
              <w:br w:type="textWrapping"/>
            </w:r>
            <w:r>
              <w:rPr>
                <w:rFonts w:hint="default"/>
                <w:sz w:val="21"/>
                <w:szCs w:val="21"/>
              </w:rPr>
              <w:t xml:space="preserve">  2. 掌握体检后处理流程，能为患者提供建议。</w:t>
            </w:r>
          </w:p>
          <w:p w14:paraId="1E9CDE00">
            <w:pPr>
              <w:widowControl w:val="0"/>
              <w:jc w:val="both"/>
              <w:rPr>
                <w:rFonts w:hint="eastAsia" w:eastAsiaTheme="minorEastAsia"/>
                <w:sz w:val="21"/>
                <w:szCs w:val="21"/>
                <w:lang w:eastAsia="zh-CN"/>
              </w:rPr>
            </w:pPr>
            <w:r>
              <w:rPr>
                <w:sz w:val="21"/>
                <w:szCs w:val="21"/>
              </w:rPr>
              <w:br w:type="textWrapping"/>
            </w:r>
            <w:r>
              <w:rPr>
                <w:rFonts w:hint="default"/>
                <w:b/>
                <w:bCs/>
                <w:sz w:val="21"/>
                <w:szCs w:val="21"/>
              </w:rPr>
              <w:t xml:space="preserve"> 六、高血压</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高血压的概念、分类、分级、症状与危害。</w:t>
            </w:r>
            <w:r>
              <w:rPr>
                <w:sz w:val="21"/>
                <w:szCs w:val="21"/>
              </w:rPr>
              <w:br w:type="textWrapping"/>
            </w:r>
            <w:r>
              <w:rPr>
                <w:rFonts w:hint="default"/>
                <w:sz w:val="21"/>
                <w:szCs w:val="21"/>
              </w:rPr>
              <w:t xml:space="preserve">  2. 高血压的社区管理及流程。</w:t>
            </w:r>
            <w:r>
              <w:rPr>
                <w:sz w:val="21"/>
                <w:szCs w:val="21"/>
              </w:rPr>
              <w:br w:type="textWrapping"/>
            </w:r>
            <w:r>
              <w:rPr>
                <w:rFonts w:hint="default"/>
                <w:sz w:val="21"/>
                <w:szCs w:val="21"/>
              </w:rPr>
              <w:t xml:space="preserve">  3. 高血压的药物治疗与健康教育。</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高血压的症状及临床表现，如何进行分级评估。</w:t>
            </w:r>
            <w:r>
              <w:rPr>
                <w:sz w:val="21"/>
                <w:szCs w:val="21"/>
              </w:rPr>
              <w:br w:type="textWrapping"/>
            </w:r>
            <w:r>
              <w:rPr>
                <w:rFonts w:hint="default"/>
                <w:sz w:val="21"/>
                <w:szCs w:val="21"/>
              </w:rPr>
              <w:t xml:space="preserve">  2. 高血压的药物治疗与管理的综合性。</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根据病史与症状判断高血压的级别，能为患者提供科学建议。</w:t>
            </w:r>
            <w:r>
              <w:rPr>
                <w:sz w:val="21"/>
                <w:szCs w:val="21"/>
              </w:rPr>
              <w:br w:type="textWrapping"/>
            </w:r>
            <w:r>
              <w:rPr>
                <w:rFonts w:hint="default"/>
                <w:sz w:val="21"/>
                <w:szCs w:val="21"/>
              </w:rPr>
              <w:t xml:space="preserve">  2. 掌握高血压的健康管理及健康教育技巧，进行社区管理与随访。</w:t>
            </w:r>
          </w:p>
          <w:p w14:paraId="3219FAFF">
            <w:pPr>
              <w:widowControl w:val="0"/>
              <w:jc w:val="both"/>
              <w:rPr>
                <w:rFonts w:hint="eastAsia" w:eastAsiaTheme="minorEastAsia"/>
                <w:sz w:val="21"/>
                <w:szCs w:val="21"/>
                <w:lang w:eastAsia="zh-CN"/>
              </w:rPr>
            </w:pPr>
            <w:r>
              <w:rPr>
                <w:sz w:val="21"/>
                <w:szCs w:val="21"/>
              </w:rPr>
              <w:br w:type="textWrapping"/>
            </w:r>
            <w:r>
              <w:rPr>
                <w:rFonts w:hint="default"/>
                <w:b/>
                <w:bCs/>
                <w:sz w:val="21"/>
                <w:szCs w:val="21"/>
              </w:rPr>
              <w:t xml:space="preserve"> 七、冠心病与经皮冠状动脉介入治疗术后</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冠心病的概念、临床表现、分类与危险因素。</w:t>
            </w:r>
            <w:r>
              <w:rPr>
                <w:sz w:val="21"/>
                <w:szCs w:val="21"/>
              </w:rPr>
              <w:br w:type="textWrapping"/>
            </w:r>
            <w:r>
              <w:rPr>
                <w:rFonts w:hint="default"/>
                <w:sz w:val="21"/>
                <w:szCs w:val="21"/>
              </w:rPr>
              <w:t xml:space="preserve">  2. 冠心病的社区健康管理与药物治疗。</w:t>
            </w:r>
            <w:r>
              <w:rPr>
                <w:sz w:val="21"/>
                <w:szCs w:val="21"/>
              </w:rPr>
              <w:br w:type="textWrapping"/>
            </w:r>
            <w:r>
              <w:rPr>
                <w:rFonts w:hint="default"/>
                <w:sz w:val="21"/>
                <w:szCs w:val="21"/>
              </w:rPr>
              <w:t xml:space="preserve">  3. 经皮冠状动脉介入治疗及随访管理。</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如何判断冠心病的临床表现及及时给予建议。</w:t>
            </w:r>
            <w:r>
              <w:rPr>
                <w:sz w:val="21"/>
                <w:szCs w:val="21"/>
              </w:rPr>
              <w:br w:type="textWrapping"/>
            </w:r>
            <w:r>
              <w:rPr>
                <w:rFonts w:hint="default"/>
                <w:sz w:val="21"/>
                <w:szCs w:val="21"/>
              </w:rPr>
              <w:t xml:space="preserve">  2. 经皮冠状动脉介入治疗后的随访管理与健康教育。</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根据冠心病的概念与临床表现进行初步判断。</w:t>
            </w:r>
            <w:r>
              <w:rPr>
                <w:sz w:val="21"/>
                <w:szCs w:val="21"/>
              </w:rPr>
              <w:br w:type="textWrapping"/>
            </w:r>
            <w:r>
              <w:rPr>
                <w:rFonts w:hint="default"/>
                <w:sz w:val="21"/>
                <w:szCs w:val="21"/>
              </w:rPr>
              <w:t xml:space="preserve">  2. 了解冠心病的治疗方法，能够指导药物使用与健康管理。</w:t>
            </w:r>
            <w:r>
              <w:rPr>
                <w:sz w:val="21"/>
                <w:szCs w:val="21"/>
              </w:rPr>
              <w:br w:type="textWrapping"/>
            </w:r>
            <w:r>
              <w:rPr>
                <w:rFonts w:hint="default"/>
                <w:sz w:val="21"/>
                <w:szCs w:val="21"/>
              </w:rPr>
              <w:t xml:space="preserve">  3. 学会对冠心病患者进行随访管理，提升健康管理能力。</w:t>
            </w:r>
          </w:p>
          <w:p w14:paraId="629669AA">
            <w:pPr>
              <w:widowControl w:val="0"/>
              <w:jc w:val="both"/>
              <w:rPr>
                <w:rFonts w:hint="eastAsia" w:eastAsiaTheme="minorEastAsia"/>
                <w:sz w:val="21"/>
                <w:szCs w:val="21"/>
                <w:lang w:eastAsia="zh-CN"/>
              </w:rPr>
            </w:pPr>
            <w:r>
              <w:rPr>
                <w:sz w:val="21"/>
                <w:szCs w:val="21"/>
              </w:rPr>
              <w:br w:type="textWrapping"/>
            </w:r>
            <w:r>
              <w:rPr>
                <w:rFonts w:hint="default"/>
                <w:b/>
                <w:bCs/>
                <w:sz w:val="21"/>
                <w:szCs w:val="21"/>
              </w:rPr>
              <w:t xml:space="preserve"> 八、血脂异常</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血脂异常的概念、分类、症状与致病因素。</w:t>
            </w:r>
            <w:r>
              <w:rPr>
                <w:sz w:val="21"/>
                <w:szCs w:val="21"/>
              </w:rPr>
              <w:br w:type="textWrapping"/>
            </w:r>
            <w:r>
              <w:rPr>
                <w:rFonts w:hint="default"/>
                <w:sz w:val="21"/>
                <w:szCs w:val="21"/>
              </w:rPr>
              <w:t xml:space="preserve">  2. 血脂异常的药物治疗与非药物治疗。</w:t>
            </w:r>
            <w:r>
              <w:rPr>
                <w:sz w:val="21"/>
                <w:szCs w:val="21"/>
              </w:rPr>
              <w:br w:type="textWrapping"/>
            </w:r>
            <w:r>
              <w:rPr>
                <w:rFonts w:hint="default"/>
                <w:sz w:val="21"/>
                <w:szCs w:val="21"/>
              </w:rPr>
              <w:t xml:space="preserve">  3. 血脂异常的社区管理与健康教育。</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如何进行血脂异常的诊断，药物治疗及非药物治疗的结合。</w:t>
            </w:r>
            <w:r>
              <w:rPr>
                <w:sz w:val="21"/>
                <w:szCs w:val="21"/>
              </w:rPr>
              <w:br w:type="textWrapping"/>
            </w:r>
            <w:r>
              <w:rPr>
                <w:rFonts w:hint="default"/>
                <w:sz w:val="21"/>
                <w:szCs w:val="21"/>
              </w:rPr>
              <w:t xml:space="preserve">  2. 社区管理与随访的有效性。</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根据症状与检查结果进行血脂异常的指导与管理。</w:t>
            </w:r>
            <w:r>
              <w:rPr>
                <w:sz w:val="21"/>
                <w:szCs w:val="21"/>
              </w:rPr>
              <w:br w:type="textWrapping"/>
            </w:r>
            <w:r>
              <w:rPr>
                <w:rFonts w:hint="default"/>
                <w:sz w:val="21"/>
                <w:szCs w:val="21"/>
              </w:rPr>
              <w:t xml:space="preserve">  2. 了解血脂异常的防治方法，并进行健康教育。</w:t>
            </w:r>
          </w:p>
          <w:p w14:paraId="7F36A86B">
            <w:pPr>
              <w:widowControl w:val="0"/>
              <w:jc w:val="both"/>
              <w:rPr>
                <w:rFonts w:hint="eastAsia" w:eastAsiaTheme="minorEastAsia"/>
                <w:sz w:val="21"/>
                <w:szCs w:val="21"/>
                <w:lang w:eastAsia="zh-CN"/>
              </w:rPr>
            </w:pPr>
            <w:r>
              <w:rPr>
                <w:sz w:val="21"/>
                <w:szCs w:val="21"/>
              </w:rPr>
              <w:br w:type="textWrapping"/>
            </w:r>
            <w:r>
              <w:rPr>
                <w:rFonts w:hint="default"/>
                <w:b/>
                <w:bCs/>
                <w:sz w:val="21"/>
                <w:szCs w:val="21"/>
              </w:rPr>
              <w:t xml:space="preserve"> 九、脑卒中</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脑卒中的概念、临床表现、并发症与处理。</w:t>
            </w:r>
            <w:r>
              <w:rPr>
                <w:sz w:val="21"/>
                <w:szCs w:val="21"/>
              </w:rPr>
              <w:br w:type="textWrapping"/>
            </w:r>
            <w:r>
              <w:rPr>
                <w:rFonts w:hint="default"/>
                <w:sz w:val="21"/>
                <w:szCs w:val="21"/>
              </w:rPr>
              <w:t xml:space="preserve">  2. 脑卒中的评估、预防与康复。</w:t>
            </w:r>
            <w:r>
              <w:rPr>
                <w:sz w:val="21"/>
                <w:szCs w:val="21"/>
              </w:rPr>
              <w:br w:type="textWrapping"/>
            </w:r>
            <w:r>
              <w:rPr>
                <w:rFonts w:hint="default"/>
                <w:sz w:val="21"/>
                <w:szCs w:val="21"/>
              </w:rPr>
              <w:t xml:space="preserve">  3. 脑卒中的药物治疗与非药物治疗，社区管理。</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脑卒中的临床表现与急性处理。</w:t>
            </w:r>
            <w:r>
              <w:rPr>
                <w:sz w:val="21"/>
                <w:szCs w:val="21"/>
              </w:rPr>
              <w:br w:type="textWrapping"/>
            </w:r>
            <w:r>
              <w:rPr>
                <w:rFonts w:hint="default"/>
                <w:sz w:val="21"/>
                <w:szCs w:val="21"/>
              </w:rPr>
              <w:t xml:space="preserve">  2. 脑卒中的家庭康复指导与管理。</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能根据脑卒中的概念做出初步判断并进行急救处理。</w:t>
            </w:r>
            <w:r>
              <w:rPr>
                <w:sz w:val="21"/>
                <w:szCs w:val="21"/>
              </w:rPr>
              <w:br w:type="textWrapping"/>
            </w:r>
            <w:r>
              <w:rPr>
                <w:rFonts w:hint="default"/>
                <w:sz w:val="21"/>
                <w:szCs w:val="21"/>
              </w:rPr>
              <w:t xml:space="preserve">  2. 了解脑卒中的评估与康复，能够为患者提供康复指导。</w:t>
            </w:r>
          </w:p>
          <w:p w14:paraId="1AFE4066">
            <w:pPr>
              <w:widowControl w:val="0"/>
              <w:jc w:val="both"/>
              <w:rPr>
                <w:rFonts w:hint="eastAsia" w:eastAsiaTheme="minorEastAsia"/>
                <w:sz w:val="21"/>
                <w:szCs w:val="21"/>
                <w:lang w:eastAsia="zh-CN"/>
              </w:rPr>
            </w:pPr>
            <w:r>
              <w:rPr>
                <w:sz w:val="21"/>
                <w:szCs w:val="21"/>
              </w:rPr>
              <w:br w:type="textWrapping"/>
            </w:r>
            <w:r>
              <w:rPr>
                <w:rFonts w:hint="default"/>
                <w:b/>
                <w:bCs/>
                <w:sz w:val="21"/>
                <w:szCs w:val="21"/>
              </w:rPr>
              <w:t xml:space="preserve"> 十、糖尿病</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糖尿病的概念、分类、危险因素、临床表现与并发症。</w:t>
            </w:r>
            <w:r>
              <w:rPr>
                <w:sz w:val="21"/>
                <w:szCs w:val="21"/>
              </w:rPr>
              <w:br w:type="textWrapping"/>
            </w:r>
            <w:r>
              <w:rPr>
                <w:rFonts w:hint="default"/>
                <w:sz w:val="21"/>
                <w:szCs w:val="21"/>
              </w:rPr>
              <w:t xml:space="preserve">  2. 糖尿病的药物治疗与非药物治疗。</w:t>
            </w:r>
            <w:r>
              <w:rPr>
                <w:sz w:val="21"/>
                <w:szCs w:val="21"/>
              </w:rPr>
              <w:br w:type="textWrapping"/>
            </w:r>
            <w:r>
              <w:rPr>
                <w:rFonts w:hint="default"/>
                <w:sz w:val="21"/>
                <w:szCs w:val="21"/>
              </w:rPr>
              <w:t xml:space="preserve">  3. 糖尿病的社区管理与健康教育。</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糖尿病的分类与临床表现，如何进行药物治疗与管理。</w:t>
            </w:r>
            <w:r>
              <w:rPr>
                <w:sz w:val="21"/>
                <w:szCs w:val="21"/>
              </w:rPr>
              <w:br w:type="textWrapping"/>
            </w:r>
            <w:r>
              <w:rPr>
                <w:rFonts w:hint="default"/>
                <w:sz w:val="21"/>
                <w:szCs w:val="21"/>
              </w:rPr>
              <w:t xml:space="preserve">  2. 如何设计糖尿病的健康教育与运动指导。</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根据糖尿病的临床表现进行诊断，提供治疗建议。</w:t>
            </w:r>
            <w:r>
              <w:rPr>
                <w:sz w:val="21"/>
                <w:szCs w:val="21"/>
              </w:rPr>
              <w:br w:type="textWrapping"/>
            </w:r>
            <w:r>
              <w:rPr>
                <w:rFonts w:hint="default"/>
                <w:sz w:val="21"/>
                <w:szCs w:val="21"/>
              </w:rPr>
              <w:t xml:space="preserve">  2. 学会糖尿病的社区管理与健康教育技巧，进行有效的随访。</w:t>
            </w:r>
          </w:p>
          <w:p w14:paraId="61AAB6B9">
            <w:pPr>
              <w:widowControl w:val="0"/>
              <w:jc w:val="both"/>
              <w:rPr>
                <w:rFonts w:hint="eastAsia" w:eastAsiaTheme="minorEastAsia"/>
                <w:sz w:val="21"/>
                <w:szCs w:val="21"/>
                <w:lang w:eastAsia="zh-CN"/>
              </w:rPr>
            </w:pPr>
            <w:r>
              <w:rPr>
                <w:sz w:val="21"/>
                <w:szCs w:val="21"/>
              </w:rPr>
              <w:br w:type="textWrapping"/>
            </w:r>
            <w:r>
              <w:rPr>
                <w:rFonts w:hint="default"/>
                <w:sz w:val="21"/>
                <w:szCs w:val="21"/>
              </w:rPr>
              <w:t xml:space="preserve"> </w:t>
            </w:r>
            <w:r>
              <w:rPr>
                <w:rFonts w:hint="default"/>
                <w:b/>
                <w:bCs/>
                <w:sz w:val="21"/>
                <w:szCs w:val="21"/>
              </w:rPr>
              <w:t>十一、高尿酸症及痛风</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高尿酸症及痛风的概念、临床表现、危险因素与危害。</w:t>
            </w:r>
            <w:r>
              <w:rPr>
                <w:sz w:val="21"/>
                <w:szCs w:val="21"/>
              </w:rPr>
              <w:br w:type="textWrapping"/>
            </w:r>
            <w:r>
              <w:rPr>
                <w:rFonts w:hint="default"/>
                <w:sz w:val="21"/>
                <w:szCs w:val="21"/>
              </w:rPr>
              <w:t xml:space="preserve">  2. 高尿酸症及痛风的药物治疗与非药物治疗。</w:t>
            </w:r>
            <w:r>
              <w:rPr>
                <w:sz w:val="21"/>
                <w:szCs w:val="21"/>
              </w:rPr>
              <w:br w:type="textWrapping"/>
            </w:r>
            <w:r>
              <w:rPr>
                <w:rFonts w:hint="default"/>
                <w:sz w:val="21"/>
                <w:szCs w:val="21"/>
              </w:rPr>
              <w:t xml:space="preserve">  3. 高尿酸症及痛风的社区管理与健康教育。</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高尿酸症及痛风的症状判断，药物与非药物治疗的综合管理。</w:t>
            </w:r>
            <w:r>
              <w:rPr>
                <w:sz w:val="21"/>
                <w:szCs w:val="21"/>
              </w:rPr>
              <w:br w:type="textWrapping"/>
            </w:r>
            <w:r>
              <w:rPr>
                <w:rFonts w:hint="default"/>
                <w:sz w:val="21"/>
                <w:szCs w:val="21"/>
              </w:rPr>
              <w:t xml:space="preserve">  2. 高尿酸症及痛风的危害进行健康教育。</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通过临床症状与检查进行高尿酸症与痛风的初步判断。</w:t>
            </w:r>
            <w:r>
              <w:rPr>
                <w:sz w:val="21"/>
                <w:szCs w:val="21"/>
              </w:rPr>
              <w:br w:type="textWrapping"/>
            </w:r>
            <w:r>
              <w:rPr>
                <w:rFonts w:hint="default"/>
                <w:sz w:val="21"/>
                <w:szCs w:val="21"/>
              </w:rPr>
              <w:t xml:space="preserve">  2. 能为患者提供药物治疗、非药物治疗与健康教育。</w:t>
            </w:r>
          </w:p>
          <w:p w14:paraId="677BF8E5">
            <w:pPr>
              <w:widowControl w:val="0"/>
              <w:jc w:val="both"/>
              <w:rPr>
                <w:rFonts w:hint="eastAsia" w:eastAsiaTheme="minorEastAsia"/>
                <w:sz w:val="21"/>
                <w:szCs w:val="21"/>
                <w:lang w:eastAsia="zh-CN"/>
              </w:rPr>
            </w:pPr>
            <w:r>
              <w:rPr>
                <w:sz w:val="21"/>
                <w:szCs w:val="21"/>
              </w:rPr>
              <w:br w:type="textWrapping"/>
            </w:r>
            <w:r>
              <w:rPr>
                <w:rFonts w:hint="default"/>
                <w:b/>
                <w:bCs/>
                <w:sz w:val="21"/>
                <w:szCs w:val="21"/>
              </w:rPr>
              <w:t xml:space="preserve"> 十二、肥胖症</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肥胖症的概念、症状、危险因素与危害。</w:t>
            </w:r>
            <w:r>
              <w:rPr>
                <w:sz w:val="21"/>
                <w:szCs w:val="21"/>
              </w:rPr>
              <w:br w:type="textWrapping"/>
            </w:r>
            <w:r>
              <w:rPr>
                <w:rFonts w:hint="default"/>
                <w:sz w:val="21"/>
                <w:szCs w:val="21"/>
              </w:rPr>
              <w:t xml:space="preserve">  2. 肥胖症的药物治疗与非药物治疗。</w:t>
            </w:r>
            <w:r>
              <w:rPr>
                <w:sz w:val="21"/>
                <w:szCs w:val="21"/>
              </w:rPr>
              <w:br w:type="textWrapping"/>
            </w:r>
            <w:r>
              <w:rPr>
                <w:rFonts w:hint="default"/>
                <w:sz w:val="21"/>
                <w:szCs w:val="21"/>
              </w:rPr>
              <w:t xml:space="preserve">  3. 肥胖症的社区管理与预防。</w:t>
            </w:r>
            <w:r>
              <w:rPr>
                <w:sz w:val="21"/>
                <w:szCs w:val="21"/>
              </w:rPr>
              <w:br w:type="textWrapping"/>
            </w:r>
            <w:r>
              <w:rPr>
                <w:rFonts w:hint="default"/>
                <w:sz w:val="21"/>
                <w:szCs w:val="21"/>
              </w:rPr>
              <w:t xml:space="preserve">  </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如何有效管理肥胖症并进行预防。</w:t>
            </w:r>
            <w:r>
              <w:rPr>
                <w:sz w:val="21"/>
                <w:szCs w:val="21"/>
              </w:rPr>
              <w:br w:type="textWrapping"/>
            </w:r>
            <w:r>
              <w:rPr>
                <w:rFonts w:hint="default"/>
                <w:sz w:val="21"/>
                <w:szCs w:val="21"/>
              </w:rPr>
              <w:t xml:space="preserve">  2. 肥胖症的药物治疗与运动指导的结合。</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根据肥胖症的症状进行初步判断，提出治疗建议。</w:t>
            </w:r>
            <w:r>
              <w:rPr>
                <w:sz w:val="21"/>
                <w:szCs w:val="21"/>
              </w:rPr>
              <w:br w:type="textWrapping"/>
            </w:r>
            <w:r>
              <w:rPr>
                <w:rFonts w:hint="default"/>
                <w:sz w:val="21"/>
                <w:szCs w:val="21"/>
              </w:rPr>
              <w:t xml:space="preserve">  2. 掌握肥胖症的管理目标与预防措施。</w:t>
            </w:r>
          </w:p>
          <w:p w14:paraId="14B97CBF">
            <w:pPr>
              <w:widowControl w:val="0"/>
              <w:jc w:val="both"/>
              <w:rPr>
                <w:rFonts w:hint="eastAsia" w:eastAsiaTheme="minorEastAsia"/>
                <w:sz w:val="21"/>
                <w:szCs w:val="21"/>
                <w:lang w:eastAsia="zh-CN"/>
              </w:rPr>
            </w:pPr>
            <w:r>
              <w:rPr>
                <w:sz w:val="21"/>
                <w:szCs w:val="21"/>
              </w:rPr>
              <w:br w:type="textWrapping"/>
            </w:r>
            <w:r>
              <w:rPr>
                <w:rFonts w:hint="default"/>
                <w:sz w:val="21"/>
                <w:szCs w:val="21"/>
              </w:rPr>
              <w:t xml:space="preserve"> </w:t>
            </w:r>
            <w:r>
              <w:rPr>
                <w:rFonts w:hint="default"/>
                <w:b/>
                <w:bCs/>
                <w:sz w:val="21"/>
                <w:szCs w:val="21"/>
              </w:rPr>
              <w:t>十三、慢性阻塞性肺疾病</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慢性阻塞性肺疾病的概念、临床表现、诊断标准与治疗原则。</w:t>
            </w:r>
            <w:r>
              <w:rPr>
                <w:sz w:val="21"/>
                <w:szCs w:val="21"/>
              </w:rPr>
              <w:br w:type="textWrapping"/>
            </w:r>
            <w:r>
              <w:rPr>
                <w:rFonts w:hint="default"/>
                <w:sz w:val="21"/>
                <w:szCs w:val="21"/>
              </w:rPr>
              <w:t xml:space="preserve">  2. 慢阻肺的药物治疗、非药物治疗与社区管理。</w:t>
            </w:r>
            <w:r>
              <w:rPr>
                <w:sz w:val="21"/>
                <w:szCs w:val="21"/>
              </w:rPr>
              <w:br w:type="textWrapping"/>
            </w:r>
            <w:r>
              <w:rPr>
                <w:rFonts w:hint="default"/>
                <w:sz w:val="21"/>
                <w:szCs w:val="21"/>
              </w:rPr>
              <w:t xml:space="preserve">  3. 慢阻肺的健康教育、并发症预防与急性处理。</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慢阻肺的诊断与治疗方法，如何进行社区管理与健康教育。</w:t>
            </w:r>
            <w:r>
              <w:rPr>
                <w:sz w:val="21"/>
                <w:szCs w:val="21"/>
              </w:rPr>
              <w:br w:type="textWrapping"/>
            </w:r>
            <w:r>
              <w:rPr>
                <w:rFonts w:hint="default"/>
                <w:sz w:val="21"/>
                <w:szCs w:val="21"/>
              </w:rPr>
              <w:t xml:space="preserve">  2. 如何处理慢阻肺并发症与急性发作。</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学会对慢性阻塞性肺疾病进行诊断与治疗管理。</w:t>
            </w:r>
            <w:r>
              <w:rPr>
                <w:sz w:val="21"/>
                <w:szCs w:val="21"/>
              </w:rPr>
              <w:br w:type="textWrapping"/>
            </w:r>
            <w:r>
              <w:rPr>
                <w:rFonts w:hint="default"/>
                <w:sz w:val="21"/>
                <w:szCs w:val="21"/>
              </w:rPr>
              <w:t xml:space="preserve">  2. 能进行健康教育与预防，帮助患者管理疾病。</w:t>
            </w:r>
          </w:p>
          <w:p w14:paraId="14D53859">
            <w:pPr>
              <w:widowControl w:val="0"/>
              <w:jc w:val="both"/>
              <w:rPr>
                <w:rFonts w:hint="eastAsia" w:eastAsiaTheme="minorEastAsia"/>
                <w:sz w:val="21"/>
                <w:szCs w:val="21"/>
                <w:lang w:eastAsia="zh-CN"/>
              </w:rPr>
            </w:pPr>
            <w:r>
              <w:rPr>
                <w:sz w:val="21"/>
                <w:szCs w:val="21"/>
              </w:rPr>
              <w:br w:type="textWrapping"/>
            </w:r>
            <w:r>
              <w:rPr>
                <w:rFonts w:hint="default"/>
                <w:sz w:val="21"/>
                <w:szCs w:val="21"/>
              </w:rPr>
              <w:t xml:space="preserve"> </w:t>
            </w:r>
            <w:r>
              <w:rPr>
                <w:rFonts w:hint="default"/>
                <w:b/>
                <w:bCs/>
                <w:sz w:val="21"/>
                <w:szCs w:val="21"/>
              </w:rPr>
              <w:t>十四、慢性肾脏病</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慢性肾脏病的概念、分期、临床表现、危险因素与治疗原则。</w:t>
            </w:r>
            <w:r>
              <w:rPr>
                <w:sz w:val="21"/>
                <w:szCs w:val="21"/>
              </w:rPr>
              <w:br w:type="textWrapping"/>
            </w:r>
            <w:r>
              <w:rPr>
                <w:rFonts w:hint="default"/>
                <w:sz w:val="21"/>
                <w:szCs w:val="21"/>
              </w:rPr>
              <w:t xml:space="preserve">  2. 慢性肾脏病的药物治疗、非药物治疗与社区健康管理。</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慢性肾脏病的分期与治疗，如何进行药物与非药物治疗的综合管理。</w:t>
            </w:r>
            <w:r>
              <w:rPr>
                <w:sz w:val="21"/>
                <w:szCs w:val="21"/>
              </w:rPr>
              <w:br w:type="textWrapping"/>
            </w:r>
            <w:r>
              <w:rPr>
                <w:rFonts w:hint="default"/>
                <w:sz w:val="21"/>
                <w:szCs w:val="21"/>
              </w:rPr>
              <w:t xml:space="preserve">  2. 如何进行健康教育与运动指导，预防病情加重。</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根据慢性肾脏病的临床表现进行判断，提供治疗与管理建议。</w:t>
            </w:r>
            <w:r>
              <w:rPr>
                <w:sz w:val="21"/>
                <w:szCs w:val="21"/>
              </w:rPr>
              <w:br w:type="textWrapping"/>
            </w:r>
            <w:r>
              <w:rPr>
                <w:rFonts w:hint="default"/>
                <w:sz w:val="21"/>
                <w:szCs w:val="21"/>
              </w:rPr>
              <w:t xml:space="preserve">  2. 学会慢性肾脏病的社区管理与随访。</w:t>
            </w:r>
          </w:p>
          <w:p w14:paraId="33CD5EC2">
            <w:pPr>
              <w:widowControl w:val="0"/>
              <w:jc w:val="both"/>
              <w:rPr>
                <w:rFonts w:hint="eastAsia" w:eastAsiaTheme="minorEastAsia"/>
                <w:sz w:val="21"/>
                <w:szCs w:val="21"/>
                <w:lang w:eastAsia="zh-CN"/>
              </w:rPr>
            </w:pPr>
            <w:r>
              <w:rPr>
                <w:sz w:val="21"/>
                <w:szCs w:val="21"/>
              </w:rPr>
              <w:br w:type="textWrapping"/>
            </w:r>
            <w:r>
              <w:rPr>
                <w:rFonts w:hint="default"/>
                <w:sz w:val="21"/>
                <w:szCs w:val="21"/>
              </w:rPr>
              <w:t xml:space="preserve"> </w:t>
            </w:r>
            <w:r>
              <w:rPr>
                <w:rFonts w:hint="default"/>
                <w:b/>
                <w:bCs/>
                <w:sz w:val="21"/>
                <w:szCs w:val="21"/>
              </w:rPr>
              <w:t>十五、膝骨关节炎</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膝骨关节炎的定义、流行情况、危险因素、诊断类型与分期。</w:t>
            </w:r>
            <w:r>
              <w:rPr>
                <w:sz w:val="21"/>
                <w:szCs w:val="21"/>
              </w:rPr>
              <w:br w:type="textWrapping"/>
            </w:r>
            <w:r>
              <w:rPr>
                <w:rFonts w:hint="default"/>
                <w:sz w:val="21"/>
                <w:szCs w:val="21"/>
              </w:rPr>
              <w:t xml:space="preserve">  2. 膝骨关节炎的药物治疗、手术治疗与社区管理。</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膝骨关节炎的诊断与治疗方法，如何结合药物与手术治疗。</w:t>
            </w:r>
            <w:r>
              <w:rPr>
                <w:sz w:val="21"/>
                <w:szCs w:val="21"/>
              </w:rPr>
              <w:br w:type="textWrapping"/>
            </w:r>
            <w:r>
              <w:rPr>
                <w:rFonts w:hint="default"/>
                <w:sz w:val="21"/>
                <w:szCs w:val="21"/>
              </w:rPr>
              <w:t xml:space="preserve">  2. 如何进行社区管理与预防。</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根据症状与检查结果进行膝骨关节炎的诊断。</w:t>
            </w:r>
            <w:r>
              <w:rPr>
                <w:sz w:val="21"/>
                <w:szCs w:val="21"/>
              </w:rPr>
              <w:br w:type="textWrapping"/>
            </w:r>
            <w:r>
              <w:rPr>
                <w:rFonts w:hint="default"/>
                <w:sz w:val="21"/>
                <w:szCs w:val="21"/>
              </w:rPr>
              <w:t xml:space="preserve">  2. 能进行膝骨关节炎的治疗管理与健康教育。</w:t>
            </w:r>
          </w:p>
          <w:p w14:paraId="088868FC">
            <w:pPr>
              <w:widowControl w:val="0"/>
              <w:jc w:val="both"/>
              <w:rPr>
                <w:rFonts w:hint="eastAsia" w:eastAsiaTheme="minorEastAsia"/>
                <w:sz w:val="21"/>
                <w:szCs w:val="21"/>
                <w:lang w:eastAsia="zh-CN"/>
              </w:rPr>
            </w:pPr>
            <w:r>
              <w:rPr>
                <w:sz w:val="21"/>
                <w:szCs w:val="21"/>
              </w:rPr>
              <w:br w:type="textWrapping"/>
            </w:r>
            <w:r>
              <w:rPr>
                <w:rFonts w:hint="default"/>
                <w:sz w:val="21"/>
                <w:szCs w:val="21"/>
              </w:rPr>
              <w:t xml:space="preserve"> </w:t>
            </w:r>
            <w:r>
              <w:rPr>
                <w:rFonts w:hint="default"/>
                <w:b/>
                <w:bCs/>
                <w:sz w:val="21"/>
                <w:szCs w:val="21"/>
              </w:rPr>
              <w:t>十六、安宁疗护</w:t>
            </w:r>
            <w:r>
              <w:rPr>
                <w:sz w:val="21"/>
                <w:szCs w:val="21"/>
              </w:rPr>
              <w:br w:type="textWrapping"/>
            </w:r>
            <w:r>
              <w:rPr>
                <w:rFonts w:hint="default"/>
                <w:sz w:val="21"/>
                <w:szCs w:val="21"/>
              </w:rPr>
              <w:t xml:space="preserve"> 知识点：</w:t>
            </w:r>
            <w:r>
              <w:rPr>
                <w:sz w:val="21"/>
                <w:szCs w:val="21"/>
              </w:rPr>
              <w:br w:type="textWrapping"/>
            </w:r>
            <w:r>
              <w:rPr>
                <w:rFonts w:hint="default"/>
                <w:sz w:val="21"/>
                <w:szCs w:val="21"/>
              </w:rPr>
              <w:t xml:space="preserve">  1. 安宁疗护的概念、发展与服务理念。</w:t>
            </w:r>
            <w:r>
              <w:rPr>
                <w:sz w:val="21"/>
                <w:szCs w:val="21"/>
              </w:rPr>
              <w:br w:type="textWrapping"/>
            </w:r>
            <w:r>
              <w:rPr>
                <w:rFonts w:hint="default"/>
                <w:sz w:val="21"/>
                <w:szCs w:val="21"/>
              </w:rPr>
              <w:t xml:space="preserve">  2. 社区安宁疗护（临终关怀）的服务内容。</w:t>
            </w:r>
            <w:r>
              <w:rPr>
                <w:sz w:val="21"/>
                <w:szCs w:val="21"/>
              </w:rPr>
              <w:br w:type="textWrapping"/>
            </w:r>
            <w:r>
              <w:rPr>
                <w:rFonts w:hint="default"/>
                <w:sz w:val="21"/>
                <w:szCs w:val="21"/>
              </w:rPr>
              <w:t xml:space="preserve">  3. 安宁疗护的症状控制技术与舒适照护。</w:t>
            </w:r>
            <w:r>
              <w:rPr>
                <w:sz w:val="21"/>
                <w:szCs w:val="21"/>
              </w:rPr>
              <w:br w:type="textWrapping"/>
            </w:r>
            <w:r>
              <w:rPr>
                <w:rFonts w:hint="default"/>
                <w:sz w:val="21"/>
                <w:szCs w:val="21"/>
              </w:rPr>
              <w:t xml:space="preserve"> 教学难点：</w:t>
            </w:r>
            <w:r>
              <w:rPr>
                <w:sz w:val="21"/>
                <w:szCs w:val="21"/>
              </w:rPr>
              <w:br w:type="textWrapping"/>
            </w:r>
            <w:r>
              <w:rPr>
                <w:rFonts w:hint="default"/>
                <w:sz w:val="21"/>
                <w:szCs w:val="21"/>
              </w:rPr>
              <w:t xml:space="preserve">  1. 如何进行安宁疗护的症状控制与舒适照护。</w:t>
            </w:r>
            <w:r>
              <w:rPr>
                <w:sz w:val="21"/>
                <w:szCs w:val="21"/>
              </w:rPr>
              <w:br w:type="textWrapping"/>
            </w:r>
            <w:r>
              <w:rPr>
                <w:rFonts w:hint="default"/>
                <w:sz w:val="21"/>
                <w:szCs w:val="21"/>
              </w:rPr>
              <w:t xml:space="preserve">  2. 如何为临终患者提供心灵关怀。</w:t>
            </w:r>
            <w:r>
              <w:rPr>
                <w:sz w:val="21"/>
                <w:szCs w:val="21"/>
              </w:rPr>
              <w:br w:type="textWrapping"/>
            </w:r>
            <w:r>
              <w:rPr>
                <w:rFonts w:hint="default"/>
                <w:sz w:val="21"/>
                <w:szCs w:val="21"/>
              </w:rPr>
              <w:t xml:space="preserve"> 能力要求：</w:t>
            </w:r>
            <w:r>
              <w:rPr>
                <w:sz w:val="21"/>
                <w:szCs w:val="21"/>
              </w:rPr>
              <w:br w:type="textWrapping"/>
            </w:r>
            <w:r>
              <w:rPr>
                <w:rFonts w:hint="default"/>
                <w:sz w:val="21"/>
                <w:szCs w:val="21"/>
              </w:rPr>
              <w:t xml:space="preserve">  1. 了解安宁疗护的服务理念与实施方法。</w:t>
            </w:r>
            <w:r>
              <w:rPr>
                <w:sz w:val="21"/>
                <w:szCs w:val="21"/>
              </w:rPr>
              <w:br w:type="textWrapping"/>
            </w:r>
            <w:r>
              <w:rPr>
                <w:rFonts w:hint="default"/>
                <w:sz w:val="21"/>
                <w:szCs w:val="21"/>
              </w:rPr>
              <w:t xml:space="preserve">  2. 掌握安宁疗护的症状控制技巧与关怀技术。</w:t>
            </w:r>
          </w:p>
          <w:p w14:paraId="0D2FF5FB">
            <w:pPr>
              <w:widowControl w:val="0"/>
              <w:numPr>
                <w:ilvl w:val="0"/>
                <w:numId w:val="0"/>
              </w:numPr>
              <w:snapToGrid w:val="0"/>
              <w:spacing w:line="360" w:lineRule="auto"/>
              <w:ind w:leftChars="0"/>
              <w:jc w:val="left"/>
              <w:rPr>
                <w:rFonts w:hint="default" w:ascii="Times New Roman" w:hAnsi="Times New Roman" w:cs="Times New Roman"/>
                <w:b/>
                <w:bCs/>
                <w:sz w:val="21"/>
                <w:szCs w:val="21"/>
                <w:lang w:val="en-US" w:eastAsia="zh-CN"/>
              </w:rPr>
            </w:pPr>
          </w:p>
        </w:tc>
      </w:tr>
      <w:bookmarkEnd w:id="0"/>
      <w:bookmarkEnd w:id="1"/>
    </w:tbl>
    <w:p w14:paraId="60B28228">
      <w:pPr>
        <w:pStyle w:val="18"/>
        <w:spacing w:before="81" w:after="163"/>
        <w:rPr>
          <w:rFonts w:hint="default" w:ascii="Times New Roman" w:hAnsi="Times New Roman" w:cs="Times New Roman"/>
        </w:rPr>
      </w:pPr>
      <w:r>
        <w:rPr>
          <w:rFonts w:hint="default" w:ascii="Times New Roman" w:hAnsi="Times New Roman" w:cs="Times New Roman"/>
        </w:rPr>
        <w:t>（二）教学单元对课程目标的支撑关系</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3468"/>
        <w:gridCol w:w="1251"/>
        <w:gridCol w:w="1251"/>
        <w:gridCol w:w="1251"/>
        <w:gridCol w:w="1252"/>
      </w:tblGrid>
      <w:tr w14:paraId="33DD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045" w:type="pct"/>
            <w:tcBorders>
              <w:top w:val="single" w:color="auto" w:sz="12" w:space="0"/>
              <w:left w:val="single" w:color="auto" w:sz="12" w:space="0"/>
              <w:tl2br w:val="single" w:color="auto" w:sz="4" w:space="0"/>
            </w:tcBorders>
          </w:tcPr>
          <w:p w14:paraId="3C72DAAE">
            <w:pPr>
              <w:pStyle w:val="14"/>
              <w:ind w:firstLine="489"/>
              <w:jc w:val="right"/>
              <w:rPr>
                <w:rFonts w:hint="default" w:ascii="Times New Roman" w:hAnsi="Times New Roman" w:cs="Times New Roman"/>
                <w:color w:val="auto"/>
                <w:szCs w:val="16"/>
              </w:rPr>
            </w:pPr>
            <w:r>
              <w:rPr>
                <w:rFonts w:hint="default" w:ascii="Times New Roman" w:hAnsi="Times New Roman" w:cs="Times New Roman"/>
                <w:color w:val="auto"/>
                <w:szCs w:val="16"/>
              </w:rPr>
              <w:t>课程目标</w:t>
            </w:r>
          </w:p>
          <w:p w14:paraId="05B24781">
            <w:pPr>
              <w:pStyle w:val="14"/>
              <w:ind w:right="210"/>
              <w:jc w:val="left"/>
              <w:rPr>
                <w:rFonts w:hint="default" w:ascii="Times New Roman" w:hAnsi="Times New Roman" w:cs="Times New Roman"/>
                <w:color w:val="auto"/>
                <w:szCs w:val="16"/>
              </w:rPr>
            </w:pPr>
          </w:p>
          <w:p w14:paraId="25C0A161">
            <w:pPr>
              <w:pStyle w:val="14"/>
              <w:ind w:right="210"/>
              <w:jc w:val="left"/>
              <w:rPr>
                <w:rFonts w:hint="default" w:ascii="Times New Roman" w:hAnsi="Times New Roman" w:cs="Times New Roman"/>
                <w:color w:val="auto"/>
                <w:szCs w:val="16"/>
              </w:rPr>
            </w:pPr>
            <w:r>
              <w:rPr>
                <w:rFonts w:hint="default" w:ascii="Times New Roman" w:hAnsi="Times New Roman" w:cs="Times New Roman"/>
                <w:color w:val="auto"/>
                <w:szCs w:val="16"/>
              </w:rPr>
              <w:t>教学单元</w:t>
            </w:r>
          </w:p>
        </w:tc>
        <w:tc>
          <w:tcPr>
            <w:tcW w:w="738" w:type="pct"/>
            <w:tcBorders>
              <w:top w:val="single" w:color="auto" w:sz="12" w:space="0"/>
            </w:tcBorders>
            <w:vAlign w:val="center"/>
          </w:tcPr>
          <w:p w14:paraId="6BC8B833">
            <w:pPr>
              <w:pStyle w:val="14"/>
              <w:rPr>
                <w:rFonts w:hint="default" w:ascii="Times New Roman" w:hAnsi="Times New Roman" w:eastAsia="黑体" w:cs="Times New Roman"/>
                <w:color w:val="auto"/>
                <w:szCs w:val="16"/>
                <w:lang w:val="en-US" w:eastAsia="zh-CN"/>
              </w:rPr>
            </w:pPr>
            <w:r>
              <w:rPr>
                <w:rFonts w:hint="default" w:ascii="Times New Roman" w:hAnsi="Times New Roman" w:cs="Times New Roman"/>
                <w:color w:val="auto"/>
                <w:szCs w:val="16"/>
                <w:lang w:val="en-US" w:eastAsia="zh-CN"/>
              </w:rPr>
              <w:t>1</w:t>
            </w:r>
          </w:p>
        </w:tc>
        <w:tc>
          <w:tcPr>
            <w:tcW w:w="738" w:type="pct"/>
            <w:tcBorders>
              <w:top w:val="single" w:color="auto" w:sz="12" w:space="0"/>
            </w:tcBorders>
            <w:vAlign w:val="center"/>
          </w:tcPr>
          <w:p w14:paraId="2EC07581">
            <w:pPr>
              <w:pStyle w:val="14"/>
              <w:rPr>
                <w:rFonts w:hint="default" w:ascii="Times New Roman" w:hAnsi="Times New Roman" w:eastAsia="黑体" w:cs="Times New Roman"/>
                <w:color w:val="auto"/>
                <w:szCs w:val="16"/>
                <w:lang w:val="en-US" w:eastAsia="zh-CN"/>
              </w:rPr>
            </w:pPr>
            <w:r>
              <w:rPr>
                <w:rFonts w:hint="default" w:ascii="Times New Roman" w:hAnsi="Times New Roman" w:cs="Times New Roman"/>
                <w:color w:val="auto"/>
                <w:szCs w:val="16"/>
                <w:lang w:val="en-US" w:eastAsia="zh-CN"/>
              </w:rPr>
              <w:t>2</w:t>
            </w:r>
          </w:p>
        </w:tc>
        <w:tc>
          <w:tcPr>
            <w:tcW w:w="738" w:type="pct"/>
            <w:tcBorders>
              <w:top w:val="single" w:color="auto" w:sz="12" w:space="0"/>
            </w:tcBorders>
            <w:vAlign w:val="center"/>
          </w:tcPr>
          <w:p w14:paraId="5F57A510">
            <w:pPr>
              <w:pStyle w:val="14"/>
              <w:rPr>
                <w:rFonts w:hint="default" w:ascii="Times New Roman" w:hAnsi="Times New Roman" w:eastAsia="黑体" w:cs="Times New Roman"/>
                <w:color w:val="auto"/>
                <w:szCs w:val="16"/>
                <w:lang w:val="en-US" w:eastAsia="zh-CN"/>
              </w:rPr>
            </w:pPr>
            <w:r>
              <w:rPr>
                <w:rFonts w:hint="default" w:ascii="Times New Roman" w:hAnsi="Times New Roman" w:cs="Times New Roman"/>
                <w:color w:val="auto"/>
                <w:szCs w:val="16"/>
                <w:lang w:val="en-US" w:eastAsia="zh-CN"/>
              </w:rPr>
              <w:t>3</w:t>
            </w:r>
          </w:p>
        </w:tc>
        <w:tc>
          <w:tcPr>
            <w:tcW w:w="738" w:type="pct"/>
            <w:tcBorders>
              <w:top w:val="single" w:color="auto" w:sz="12" w:space="0"/>
            </w:tcBorders>
            <w:vAlign w:val="center"/>
          </w:tcPr>
          <w:p w14:paraId="502C5BB4">
            <w:pPr>
              <w:pStyle w:val="14"/>
              <w:rPr>
                <w:rFonts w:hint="default" w:ascii="Times New Roman" w:hAnsi="Times New Roman" w:eastAsia="黑体" w:cs="Times New Roman"/>
                <w:color w:val="auto"/>
                <w:szCs w:val="16"/>
                <w:lang w:val="en-US" w:eastAsia="zh-CN"/>
              </w:rPr>
            </w:pPr>
            <w:r>
              <w:rPr>
                <w:rFonts w:hint="default" w:ascii="Times New Roman" w:hAnsi="Times New Roman" w:cs="Times New Roman"/>
                <w:color w:val="auto"/>
                <w:szCs w:val="16"/>
                <w:lang w:val="en-US" w:eastAsia="zh-CN"/>
              </w:rPr>
              <w:t>4</w:t>
            </w:r>
          </w:p>
        </w:tc>
      </w:tr>
      <w:tr w14:paraId="1440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0D1DE4F2">
            <w:pPr>
              <w:keepNext w:val="0"/>
              <w:keepLines w:val="0"/>
              <w:widowControl/>
              <w:suppressLineNumbers w:val="0"/>
              <w:jc w:val="left"/>
              <w:textAlignment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1.</w:t>
            </w:r>
            <w:r>
              <w:rPr>
                <w:rFonts w:hint="eastAsia" w:ascii="宋体" w:hAnsi="宋体" w:eastAsia="宋体" w:cs="宋体"/>
                <w:b w:val="0"/>
                <w:bCs w:val="0"/>
                <w:i w:val="0"/>
                <w:iCs w:val="0"/>
                <w:color w:val="auto"/>
                <w:kern w:val="0"/>
                <w:sz w:val="21"/>
                <w:szCs w:val="21"/>
                <w:u w:val="none"/>
                <w:lang w:val="en-US" w:eastAsia="zh-CN" w:bidi="ar"/>
              </w:rPr>
              <w:t>慢性病概述</w:t>
            </w:r>
          </w:p>
        </w:tc>
        <w:tc>
          <w:tcPr>
            <w:tcW w:w="738" w:type="pct"/>
            <w:vAlign w:val="center"/>
          </w:tcPr>
          <w:p w14:paraId="2F076AEF">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23FDD98B">
            <w:pPr>
              <w:pStyle w:val="15"/>
              <w:rPr>
                <w:rFonts w:hint="default" w:ascii="Times New Roman" w:hAnsi="Times New Roman" w:cs="Times New Roman"/>
                <w:color w:val="auto"/>
              </w:rPr>
            </w:pPr>
          </w:p>
        </w:tc>
        <w:tc>
          <w:tcPr>
            <w:tcW w:w="738" w:type="pct"/>
            <w:vAlign w:val="center"/>
          </w:tcPr>
          <w:p w14:paraId="1C3F5FFF">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086EA169">
            <w:pPr>
              <w:pStyle w:val="15"/>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rPr>
              <w:t>√</w:t>
            </w:r>
          </w:p>
        </w:tc>
      </w:tr>
      <w:tr w14:paraId="6F49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32613088">
            <w:pPr>
              <w:keepNext w:val="0"/>
              <w:keepLines w:val="0"/>
              <w:widowControl/>
              <w:suppressLineNumbers w:val="0"/>
              <w:jc w:val="left"/>
              <w:textAlignment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2.</w:t>
            </w:r>
            <w:r>
              <w:rPr>
                <w:rFonts w:hint="default" w:ascii="Segoe UI" w:hAnsi="Segoe UI" w:eastAsia="Segoe UI" w:cs="Segoe UI"/>
                <w:b w:val="0"/>
                <w:bCs w:val="0"/>
                <w:i w:val="0"/>
                <w:iCs w:val="0"/>
                <w:color w:val="auto"/>
                <w:kern w:val="0"/>
                <w:sz w:val="21"/>
                <w:szCs w:val="21"/>
                <w:u w:val="none"/>
                <w:lang w:val="en-US" w:eastAsia="zh-CN" w:bidi="ar"/>
              </w:rPr>
              <w:t>慢性病社区防治与管理</w:t>
            </w:r>
          </w:p>
        </w:tc>
        <w:tc>
          <w:tcPr>
            <w:tcW w:w="738" w:type="pct"/>
            <w:vAlign w:val="center"/>
          </w:tcPr>
          <w:p w14:paraId="4B085F95">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6ECCC7A5">
            <w:pPr>
              <w:pStyle w:val="15"/>
              <w:rPr>
                <w:rFonts w:hint="default" w:ascii="Times New Roman" w:hAnsi="Times New Roman" w:cs="Times New Roman"/>
                <w:color w:val="auto"/>
              </w:rPr>
            </w:pPr>
          </w:p>
        </w:tc>
        <w:tc>
          <w:tcPr>
            <w:tcW w:w="738" w:type="pct"/>
            <w:vAlign w:val="center"/>
          </w:tcPr>
          <w:p w14:paraId="0FDE910F">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69B2EB63">
            <w:pPr>
              <w:pStyle w:val="15"/>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rPr>
              <w:t>√</w:t>
            </w:r>
          </w:p>
        </w:tc>
      </w:tr>
      <w:tr w14:paraId="094F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04671478">
            <w:pPr>
              <w:keepNext w:val="0"/>
              <w:keepLines w:val="0"/>
              <w:widowControl/>
              <w:suppressLineNumbers w:val="0"/>
              <w:jc w:val="left"/>
              <w:textAlignment w:val="center"/>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3.</w:t>
            </w:r>
            <w:r>
              <w:rPr>
                <w:rFonts w:hint="default" w:ascii="Segoe UI" w:hAnsi="Segoe UI" w:eastAsia="Segoe UI" w:cs="Segoe UI"/>
                <w:b w:val="0"/>
                <w:bCs w:val="0"/>
                <w:i w:val="0"/>
                <w:iCs w:val="0"/>
                <w:color w:val="auto"/>
                <w:kern w:val="0"/>
                <w:sz w:val="21"/>
                <w:szCs w:val="21"/>
                <w:u w:val="none"/>
                <w:lang w:val="en-US" w:eastAsia="zh-CN" w:bidi="ar"/>
              </w:rPr>
              <w:t>慢性病社区健康教育</w:t>
            </w:r>
          </w:p>
        </w:tc>
        <w:tc>
          <w:tcPr>
            <w:tcW w:w="738" w:type="pct"/>
            <w:vAlign w:val="center"/>
          </w:tcPr>
          <w:p w14:paraId="40329FC3">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6130CFFA">
            <w:pPr>
              <w:pStyle w:val="15"/>
              <w:rPr>
                <w:rFonts w:hint="default" w:ascii="Times New Roman" w:hAnsi="Times New Roman" w:cs="Times New Roman"/>
                <w:color w:val="auto"/>
              </w:rPr>
            </w:pPr>
          </w:p>
        </w:tc>
        <w:tc>
          <w:tcPr>
            <w:tcW w:w="738" w:type="pct"/>
            <w:vAlign w:val="center"/>
          </w:tcPr>
          <w:p w14:paraId="5BD4C2E5">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7EA2EE59">
            <w:pPr>
              <w:pStyle w:val="15"/>
              <w:rPr>
                <w:rFonts w:hint="default" w:ascii="Times New Roman" w:hAnsi="Times New Roman" w:cs="Times New Roman"/>
                <w:color w:val="auto"/>
              </w:rPr>
            </w:pPr>
            <w:r>
              <w:rPr>
                <w:rFonts w:hint="default" w:ascii="Times New Roman" w:hAnsi="Times New Roman" w:cs="Times New Roman"/>
                <w:color w:val="auto"/>
              </w:rPr>
              <w:t>√</w:t>
            </w:r>
          </w:p>
        </w:tc>
      </w:tr>
      <w:tr w14:paraId="549E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244AED28">
            <w:pPr>
              <w:keepNext w:val="0"/>
              <w:keepLines w:val="0"/>
              <w:widowControl/>
              <w:suppressLineNumbers w:val="0"/>
              <w:jc w:val="left"/>
              <w:textAlignment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4.</w:t>
            </w:r>
            <w:r>
              <w:rPr>
                <w:rFonts w:hint="default" w:ascii="Segoe UI" w:hAnsi="Segoe UI" w:eastAsia="Segoe UI" w:cs="Segoe UI"/>
                <w:b w:val="0"/>
                <w:bCs w:val="0"/>
                <w:i w:val="0"/>
                <w:iCs w:val="0"/>
                <w:color w:val="auto"/>
                <w:kern w:val="0"/>
                <w:sz w:val="21"/>
                <w:szCs w:val="21"/>
                <w:u w:val="none"/>
                <w:lang w:val="en-US" w:eastAsia="zh-CN" w:bidi="ar"/>
              </w:rPr>
              <w:t>健康管理概述</w:t>
            </w:r>
          </w:p>
        </w:tc>
        <w:tc>
          <w:tcPr>
            <w:tcW w:w="738" w:type="pct"/>
            <w:vAlign w:val="center"/>
          </w:tcPr>
          <w:p w14:paraId="457989C7">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4BD6CF5D">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26F70D69">
            <w:pPr>
              <w:pStyle w:val="15"/>
              <w:rPr>
                <w:rFonts w:hint="default" w:ascii="Times New Roman" w:hAnsi="Times New Roman" w:cs="Times New Roman"/>
                <w:color w:val="auto"/>
              </w:rPr>
            </w:pPr>
          </w:p>
        </w:tc>
        <w:tc>
          <w:tcPr>
            <w:tcW w:w="738" w:type="pct"/>
            <w:vAlign w:val="center"/>
          </w:tcPr>
          <w:p w14:paraId="30B78EC4">
            <w:pPr>
              <w:pStyle w:val="15"/>
              <w:rPr>
                <w:rFonts w:hint="default" w:ascii="Times New Roman" w:hAnsi="Times New Roman" w:cs="Times New Roman"/>
                <w:color w:val="auto"/>
              </w:rPr>
            </w:pPr>
          </w:p>
        </w:tc>
      </w:tr>
      <w:tr w14:paraId="628B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10B2A6FD">
            <w:pPr>
              <w:keepNext w:val="0"/>
              <w:keepLines w:val="0"/>
              <w:widowControl/>
              <w:suppressLineNumbers w:val="0"/>
              <w:jc w:val="left"/>
              <w:textAlignment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5.</w:t>
            </w:r>
            <w:r>
              <w:rPr>
                <w:rFonts w:hint="default" w:ascii="Segoe UI" w:hAnsi="Segoe UI" w:eastAsia="Segoe UI" w:cs="Segoe UI"/>
                <w:b w:val="0"/>
                <w:bCs w:val="0"/>
                <w:i w:val="0"/>
                <w:iCs w:val="0"/>
                <w:color w:val="auto"/>
                <w:kern w:val="0"/>
                <w:sz w:val="21"/>
                <w:szCs w:val="21"/>
                <w:u w:val="none"/>
                <w:lang w:val="en-US" w:eastAsia="zh-CN" w:bidi="ar"/>
              </w:rPr>
              <w:t>健康体检</w:t>
            </w:r>
          </w:p>
        </w:tc>
        <w:tc>
          <w:tcPr>
            <w:tcW w:w="738" w:type="pct"/>
            <w:vAlign w:val="center"/>
          </w:tcPr>
          <w:p w14:paraId="7DAEDB5B">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63388241">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1426FEF7">
            <w:pPr>
              <w:pStyle w:val="15"/>
              <w:rPr>
                <w:rFonts w:hint="default" w:ascii="Times New Roman" w:hAnsi="Times New Roman" w:cs="Times New Roman"/>
                <w:color w:val="auto"/>
              </w:rPr>
            </w:pPr>
          </w:p>
        </w:tc>
        <w:tc>
          <w:tcPr>
            <w:tcW w:w="738" w:type="pct"/>
            <w:vAlign w:val="center"/>
          </w:tcPr>
          <w:p w14:paraId="49E0AE9D">
            <w:pPr>
              <w:pStyle w:val="15"/>
              <w:rPr>
                <w:rFonts w:hint="default" w:ascii="Times New Roman" w:hAnsi="Times New Roman" w:cs="Times New Roman"/>
                <w:color w:val="auto"/>
              </w:rPr>
            </w:pPr>
          </w:p>
        </w:tc>
      </w:tr>
      <w:tr w14:paraId="5844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3E5168F6">
            <w:pPr>
              <w:keepNext w:val="0"/>
              <w:keepLines w:val="0"/>
              <w:widowControl/>
              <w:suppressLineNumbers w:val="0"/>
              <w:jc w:val="left"/>
              <w:textAlignment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6.</w:t>
            </w:r>
            <w:r>
              <w:rPr>
                <w:rFonts w:hint="default" w:ascii="Segoe UI" w:hAnsi="Segoe UI" w:eastAsia="Segoe UI" w:cs="Segoe UI"/>
                <w:b w:val="0"/>
                <w:bCs w:val="0"/>
                <w:i w:val="0"/>
                <w:iCs w:val="0"/>
                <w:color w:val="auto"/>
                <w:kern w:val="0"/>
                <w:sz w:val="21"/>
                <w:szCs w:val="21"/>
                <w:u w:val="none"/>
                <w:lang w:val="en-US" w:eastAsia="zh-CN" w:bidi="ar"/>
              </w:rPr>
              <w:t>高血压管理</w:t>
            </w:r>
          </w:p>
        </w:tc>
        <w:tc>
          <w:tcPr>
            <w:tcW w:w="738" w:type="pct"/>
            <w:vAlign w:val="center"/>
          </w:tcPr>
          <w:p w14:paraId="5D4F0281">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28FA2146">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5A6A69E1">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38811C5D">
            <w:pPr>
              <w:pStyle w:val="15"/>
              <w:rPr>
                <w:rFonts w:hint="default" w:ascii="Times New Roman" w:hAnsi="Times New Roman" w:cs="Times New Roman"/>
                <w:color w:val="auto"/>
              </w:rPr>
            </w:pPr>
          </w:p>
        </w:tc>
      </w:tr>
      <w:tr w14:paraId="3E54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31C01A1B">
            <w:pPr>
              <w:keepNext w:val="0"/>
              <w:keepLines w:val="0"/>
              <w:widowControl/>
              <w:suppressLineNumbers w:val="0"/>
              <w:jc w:val="left"/>
              <w:textAlignment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7.</w:t>
            </w:r>
            <w:r>
              <w:rPr>
                <w:rFonts w:hint="default" w:ascii="Segoe UI" w:hAnsi="Segoe UI" w:eastAsia="Segoe UI" w:cs="Segoe UI"/>
                <w:b w:val="0"/>
                <w:bCs w:val="0"/>
                <w:i w:val="0"/>
                <w:iCs w:val="0"/>
                <w:color w:val="auto"/>
                <w:kern w:val="0"/>
                <w:sz w:val="21"/>
                <w:szCs w:val="21"/>
                <w:u w:val="none"/>
                <w:lang w:val="en-US" w:eastAsia="zh-CN" w:bidi="ar"/>
              </w:rPr>
              <w:t>冠心病与介入术后管理</w:t>
            </w:r>
          </w:p>
        </w:tc>
        <w:tc>
          <w:tcPr>
            <w:tcW w:w="738" w:type="pct"/>
            <w:vAlign w:val="center"/>
          </w:tcPr>
          <w:p w14:paraId="7F8DE0E0">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0EF7C418">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5C01D6E0">
            <w:pPr>
              <w:pStyle w:val="15"/>
              <w:rPr>
                <w:rFonts w:hint="default" w:ascii="Times New Roman" w:hAnsi="Times New Roman" w:cs="Times New Roman"/>
                <w:color w:val="auto"/>
              </w:rPr>
            </w:pPr>
          </w:p>
        </w:tc>
        <w:tc>
          <w:tcPr>
            <w:tcW w:w="738" w:type="pct"/>
            <w:vAlign w:val="center"/>
          </w:tcPr>
          <w:p w14:paraId="7C678B0F">
            <w:pPr>
              <w:pStyle w:val="15"/>
              <w:rPr>
                <w:rFonts w:hint="default" w:ascii="Times New Roman" w:hAnsi="Times New Roman" w:cs="Times New Roman"/>
                <w:color w:val="auto"/>
              </w:rPr>
            </w:pPr>
            <w:r>
              <w:rPr>
                <w:rFonts w:hint="default" w:ascii="Times New Roman" w:hAnsi="Times New Roman" w:cs="Times New Roman"/>
                <w:color w:val="auto"/>
              </w:rPr>
              <w:t>√</w:t>
            </w:r>
          </w:p>
        </w:tc>
      </w:tr>
      <w:tr w14:paraId="7A7A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573037DD">
            <w:pPr>
              <w:keepNext w:val="0"/>
              <w:keepLines w:val="0"/>
              <w:widowControl/>
              <w:suppressLineNumbers w:val="0"/>
              <w:jc w:val="left"/>
              <w:textAlignment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8.</w:t>
            </w:r>
            <w:r>
              <w:rPr>
                <w:rFonts w:hint="default" w:ascii="Segoe UI" w:hAnsi="Segoe UI" w:eastAsia="Segoe UI" w:cs="Segoe UI"/>
                <w:b w:val="0"/>
                <w:bCs w:val="0"/>
                <w:i w:val="0"/>
                <w:iCs w:val="0"/>
                <w:color w:val="auto"/>
                <w:kern w:val="0"/>
                <w:sz w:val="21"/>
                <w:szCs w:val="21"/>
                <w:u w:val="none"/>
                <w:lang w:val="en-US" w:eastAsia="zh-CN" w:bidi="ar"/>
              </w:rPr>
              <w:t>血脂异常管理</w:t>
            </w:r>
          </w:p>
        </w:tc>
        <w:tc>
          <w:tcPr>
            <w:tcW w:w="738" w:type="pct"/>
            <w:vAlign w:val="center"/>
          </w:tcPr>
          <w:p w14:paraId="2302ECD6">
            <w:pPr>
              <w:pStyle w:val="15"/>
              <w:rPr>
                <w:rFonts w:hint="default" w:ascii="Times New Roman" w:hAnsi="Times New Roman" w:cs="Times New Roman"/>
                <w:color w:val="auto"/>
              </w:rPr>
            </w:pPr>
          </w:p>
        </w:tc>
        <w:tc>
          <w:tcPr>
            <w:tcW w:w="738" w:type="pct"/>
            <w:vAlign w:val="center"/>
          </w:tcPr>
          <w:p w14:paraId="5E9C036E">
            <w:pPr>
              <w:pStyle w:val="15"/>
              <w:rPr>
                <w:rFonts w:hint="default" w:ascii="Times New Roman" w:hAnsi="Times New Roman" w:cs="Times New Roman"/>
                <w:color w:val="auto"/>
              </w:rPr>
            </w:pPr>
          </w:p>
        </w:tc>
        <w:tc>
          <w:tcPr>
            <w:tcW w:w="738" w:type="pct"/>
            <w:vAlign w:val="center"/>
          </w:tcPr>
          <w:p w14:paraId="41AB86E7">
            <w:pPr>
              <w:pStyle w:val="15"/>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rPr>
              <w:t>√</w:t>
            </w:r>
          </w:p>
        </w:tc>
        <w:tc>
          <w:tcPr>
            <w:tcW w:w="738" w:type="pct"/>
            <w:vAlign w:val="center"/>
          </w:tcPr>
          <w:p w14:paraId="013B9F18">
            <w:pPr>
              <w:pStyle w:val="15"/>
              <w:rPr>
                <w:rFonts w:hint="default" w:ascii="Times New Roman" w:hAnsi="Times New Roman" w:cs="Times New Roman"/>
                <w:color w:val="auto"/>
              </w:rPr>
            </w:pPr>
          </w:p>
        </w:tc>
      </w:tr>
      <w:tr w14:paraId="5682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3BC9C1BA">
            <w:pPr>
              <w:keepNext w:val="0"/>
              <w:keepLines w:val="0"/>
              <w:widowControl/>
              <w:suppressLineNumbers w:val="0"/>
              <w:jc w:val="left"/>
              <w:textAlignment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9.</w:t>
            </w:r>
            <w:r>
              <w:rPr>
                <w:rFonts w:hint="default" w:ascii="Segoe UI" w:hAnsi="Segoe UI" w:eastAsia="Segoe UI" w:cs="Segoe UI"/>
                <w:b w:val="0"/>
                <w:bCs w:val="0"/>
                <w:i w:val="0"/>
                <w:iCs w:val="0"/>
                <w:color w:val="auto"/>
                <w:kern w:val="0"/>
                <w:sz w:val="21"/>
                <w:szCs w:val="21"/>
                <w:u w:val="none"/>
                <w:lang w:val="en-US" w:eastAsia="zh-CN" w:bidi="ar"/>
              </w:rPr>
              <w:t>脑卒中管理</w:t>
            </w:r>
          </w:p>
        </w:tc>
        <w:tc>
          <w:tcPr>
            <w:tcW w:w="738" w:type="pct"/>
            <w:vAlign w:val="center"/>
          </w:tcPr>
          <w:p w14:paraId="1FDCDB7F">
            <w:pPr>
              <w:pStyle w:val="15"/>
              <w:rPr>
                <w:rFonts w:hint="default" w:ascii="Times New Roman" w:hAnsi="Times New Roman" w:cs="Times New Roman"/>
                <w:color w:val="auto"/>
              </w:rPr>
            </w:pPr>
          </w:p>
        </w:tc>
        <w:tc>
          <w:tcPr>
            <w:tcW w:w="738" w:type="pct"/>
            <w:vAlign w:val="center"/>
          </w:tcPr>
          <w:p w14:paraId="5ECCDE8E">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242E1B4E">
            <w:pPr>
              <w:pStyle w:val="15"/>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rPr>
              <w:t>√</w:t>
            </w:r>
          </w:p>
        </w:tc>
        <w:tc>
          <w:tcPr>
            <w:tcW w:w="738" w:type="pct"/>
            <w:vAlign w:val="center"/>
          </w:tcPr>
          <w:p w14:paraId="23F48D0B">
            <w:pPr>
              <w:pStyle w:val="15"/>
              <w:rPr>
                <w:rFonts w:hint="default" w:ascii="Times New Roman" w:hAnsi="Times New Roman" w:cs="Times New Roman"/>
                <w:color w:val="auto"/>
              </w:rPr>
            </w:pPr>
            <w:r>
              <w:rPr>
                <w:rFonts w:hint="default" w:ascii="Times New Roman" w:hAnsi="Times New Roman" w:cs="Times New Roman"/>
                <w:color w:val="auto"/>
              </w:rPr>
              <w:t>√</w:t>
            </w:r>
          </w:p>
        </w:tc>
      </w:tr>
      <w:tr w14:paraId="5145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570A5F60">
            <w:pPr>
              <w:keepNext w:val="0"/>
              <w:keepLines w:val="0"/>
              <w:widowControl/>
              <w:suppressLineNumbers w:val="0"/>
              <w:jc w:val="left"/>
              <w:textAlignment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10.</w:t>
            </w:r>
            <w:r>
              <w:rPr>
                <w:rFonts w:hint="default" w:ascii="Segoe UI" w:hAnsi="Segoe UI" w:eastAsia="Segoe UI" w:cs="Segoe UI"/>
                <w:b w:val="0"/>
                <w:bCs w:val="0"/>
                <w:i w:val="0"/>
                <w:iCs w:val="0"/>
                <w:color w:val="auto"/>
                <w:kern w:val="0"/>
                <w:sz w:val="21"/>
                <w:szCs w:val="21"/>
                <w:u w:val="none"/>
                <w:lang w:val="en-US" w:eastAsia="zh-CN" w:bidi="ar"/>
              </w:rPr>
              <w:t>糖尿病管理</w:t>
            </w:r>
          </w:p>
        </w:tc>
        <w:tc>
          <w:tcPr>
            <w:tcW w:w="738" w:type="pct"/>
            <w:vAlign w:val="center"/>
          </w:tcPr>
          <w:p w14:paraId="062E1D10">
            <w:pPr>
              <w:pStyle w:val="15"/>
              <w:rPr>
                <w:rFonts w:hint="default" w:ascii="Times New Roman" w:hAnsi="Times New Roman" w:cs="Times New Roman"/>
                <w:color w:val="auto"/>
              </w:rPr>
            </w:pPr>
          </w:p>
        </w:tc>
        <w:tc>
          <w:tcPr>
            <w:tcW w:w="738" w:type="pct"/>
            <w:vAlign w:val="center"/>
          </w:tcPr>
          <w:p w14:paraId="71F1E3A9">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28243EFD">
            <w:pPr>
              <w:pStyle w:val="15"/>
              <w:rPr>
                <w:rFonts w:hint="default" w:ascii="Times New Roman" w:hAnsi="Times New Roman" w:cs="Times New Roman"/>
                <w:color w:val="auto"/>
              </w:rPr>
            </w:pPr>
          </w:p>
        </w:tc>
        <w:tc>
          <w:tcPr>
            <w:tcW w:w="738" w:type="pct"/>
            <w:vAlign w:val="center"/>
          </w:tcPr>
          <w:p w14:paraId="2C3F0A6A">
            <w:pPr>
              <w:pStyle w:val="15"/>
              <w:rPr>
                <w:rFonts w:hint="default" w:ascii="Times New Roman" w:hAnsi="Times New Roman" w:cs="Times New Roman"/>
                <w:color w:val="auto"/>
              </w:rPr>
            </w:pPr>
            <w:r>
              <w:rPr>
                <w:rFonts w:hint="default" w:ascii="Times New Roman" w:hAnsi="Times New Roman" w:cs="Times New Roman"/>
                <w:color w:val="auto"/>
              </w:rPr>
              <w:t>√</w:t>
            </w:r>
          </w:p>
        </w:tc>
      </w:tr>
      <w:tr w14:paraId="29BF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6D44B090">
            <w:pPr>
              <w:keepNext w:val="0"/>
              <w:keepLines w:val="0"/>
              <w:widowControl/>
              <w:suppressLineNumbers w:val="0"/>
              <w:jc w:val="left"/>
              <w:textAlignment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11.</w:t>
            </w:r>
            <w:r>
              <w:rPr>
                <w:rFonts w:hint="default" w:ascii="Segoe UI" w:hAnsi="Segoe UI" w:eastAsia="Segoe UI" w:cs="Segoe UI"/>
                <w:b w:val="0"/>
                <w:bCs w:val="0"/>
                <w:i w:val="0"/>
                <w:iCs w:val="0"/>
                <w:color w:val="auto"/>
                <w:kern w:val="0"/>
                <w:sz w:val="21"/>
                <w:szCs w:val="21"/>
                <w:u w:val="none"/>
                <w:lang w:val="en-US" w:eastAsia="zh-CN" w:bidi="ar"/>
              </w:rPr>
              <w:t>高尿酸症及痛风管理</w:t>
            </w:r>
          </w:p>
        </w:tc>
        <w:tc>
          <w:tcPr>
            <w:tcW w:w="738" w:type="pct"/>
            <w:vAlign w:val="center"/>
          </w:tcPr>
          <w:p w14:paraId="70268BB1">
            <w:pPr>
              <w:pStyle w:val="15"/>
              <w:rPr>
                <w:rFonts w:hint="default" w:ascii="Times New Roman" w:hAnsi="Times New Roman" w:cs="Times New Roman"/>
                <w:color w:val="auto"/>
              </w:rPr>
            </w:pPr>
          </w:p>
        </w:tc>
        <w:tc>
          <w:tcPr>
            <w:tcW w:w="738" w:type="pct"/>
            <w:vAlign w:val="center"/>
          </w:tcPr>
          <w:p w14:paraId="07279217">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738" w:type="pct"/>
            <w:vAlign w:val="center"/>
          </w:tcPr>
          <w:p w14:paraId="0ACCA8CA">
            <w:pPr>
              <w:pStyle w:val="15"/>
              <w:rPr>
                <w:rFonts w:hint="default" w:ascii="Times New Roman" w:hAnsi="Times New Roman" w:cs="Times New Roman"/>
                <w:color w:val="auto"/>
              </w:rPr>
            </w:pPr>
          </w:p>
        </w:tc>
        <w:tc>
          <w:tcPr>
            <w:tcW w:w="738" w:type="pct"/>
            <w:vAlign w:val="center"/>
          </w:tcPr>
          <w:p w14:paraId="3597E77D">
            <w:pPr>
              <w:pStyle w:val="15"/>
              <w:rPr>
                <w:rFonts w:hint="default" w:ascii="Times New Roman" w:hAnsi="Times New Roman" w:cs="Times New Roman"/>
                <w:color w:val="auto"/>
              </w:rPr>
            </w:pPr>
          </w:p>
        </w:tc>
      </w:tr>
      <w:tr w14:paraId="1626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7EA41011">
            <w:pPr>
              <w:keepNext w:val="0"/>
              <w:keepLines w:val="0"/>
              <w:widowControl/>
              <w:suppressLineNumbers w:val="0"/>
              <w:jc w:val="left"/>
              <w:textAlignment w:val="center"/>
              <w:rPr>
                <w:rFonts w:hint="default" w:ascii="Times New Roman" w:hAnsi="Times New Roman" w:cs="Times New Roman"/>
                <w:b w:val="0"/>
                <w:bCs w:val="0"/>
                <w:color w:val="auto"/>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12.</w:t>
            </w:r>
            <w:r>
              <w:rPr>
                <w:rFonts w:hint="default" w:ascii="Segoe UI" w:hAnsi="Segoe UI" w:eastAsia="Segoe UI" w:cs="Segoe UI"/>
                <w:b w:val="0"/>
                <w:bCs w:val="0"/>
                <w:i w:val="0"/>
                <w:iCs w:val="0"/>
                <w:color w:val="auto"/>
                <w:kern w:val="0"/>
                <w:sz w:val="21"/>
                <w:szCs w:val="21"/>
                <w:u w:val="none"/>
                <w:lang w:val="en-US" w:eastAsia="zh-CN" w:bidi="ar"/>
              </w:rPr>
              <w:t>肥胖症管理</w:t>
            </w:r>
          </w:p>
        </w:tc>
        <w:tc>
          <w:tcPr>
            <w:tcW w:w="738" w:type="pct"/>
            <w:vAlign w:val="center"/>
          </w:tcPr>
          <w:p w14:paraId="35925FCD">
            <w:pPr>
              <w:pStyle w:val="15"/>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rPr>
              <w:t>√</w:t>
            </w:r>
          </w:p>
        </w:tc>
        <w:tc>
          <w:tcPr>
            <w:tcW w:w="738" w:type="pct"/>
            <w:vAlign w:val="center"/>
          </w:tcPr>
          <w:p w14:paraId="6260CD0C">
            <w:pPr>
              <w:pStyle w:val="15"/>
              <w:rPr>
                <w:rFonts w:hint="default" w:ascii="Times New Roman" w:hAnsi="Times New Roman" w:cs="Times New Roman"/>
                <w:color w:val="auto"/>
              </w:rPr>
            </w:pPr>
          </w:p>
        </w:tc>
        <w:tc>
          <w:tcPr>
            <w:tcW w:w="738" w:type="pct"/>
            <w:vAlign w:val="center"/>
          </w:tcPr>
          <w:p w14:paraId="32AB80A7">
            <w:pPr>
              <w:pStyle w:val="15"/>
              <w:rPr>
                <w:rFonts w:hint="default" w:ascii="Times New Roman" w:hAnsi="Times New Roman" w:cs="Times New Roman"/>
                <w:color w:val="auto"/>
              </w:rPr>
            </w:pPr>
          </w:p>
        </w:tc>
        <w:tc>
          <w:tcPr>
            <w:tcW w:w="738" w:type="pct"/>
            <w:vAlign w:val="center"/>
          </w:tcPr>
          <w:p w14:paraId="7D7B0D74">
            <w:pPr>
              <w:pStyle w:val="15"/>
              <w:rPr>
                <w:rFonts w:hint="default" w:ascii="Times New Roman" w:hAnsi="Times New Roman" w:cs="Times New Roman"/>
                <w:color w:val="auto"/>
              </w:rPr>
            </w:pPr>
            <w:r>
              <w:rPr>
                <w:rFonts w:hint="default" w:ascii="Times New Roman" w:hAnsi="Times New Roman" w:cs="Times New Roman"/>
                <w:color w:val="auto"/>
              </w:rPr>
              <w:t>√</w:t>
            </w:r>
          </w:p>
        </w:tc>
      </w:tr>
      <w:tr w14:paraId="3A35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4A431743">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eastAsia" w:ascii="Times New Roman" w:hAnsi="Times New Roman" w:cs="Times New Roman"/>
                <w:b w:val="0"/>
                <w:bCs w:val="0"/>
                <w:i w:val="0"/>
                <w:iCs w:val="0"/>
                <w:color w:val="auto"/>
                <w:kern w:val="0"/>
                <w:sz w:val="22"/>
                <w:szCs w:val="22"/>
                <w:u w:val="none"/>
                <w:lang w:val="en-US" w:eastAsia="zh-CN" w:bidi="ar"/>
              </w:rPr>
              <w:t>13.</w:t>
            </w:r>
            <w:r>
              <w:rPr>
                <w:rFonts w:hint="default" w:ascii="Segoe UI" w:hAnsi="Segoe UI" w:eastAsia="Segoe UI" w:cs="Segoe UI"/>
                <w:b w:val="0"/>
                <w:bCs w:val="0"/>
                <w:i w:val="0"/>
                <w:iCs w:val="0"/>
                <w:color w:val="auto"/>
                <w:kern w:val="0"/>
                <w:sz w:val="21"/>
                <w:szCs w:val="21"/>
                <w:u w:val="none"/>
                <w:lang w:val="en-US" w:eastAsia="zh-CN" w:bidi="ar"/>
              </w:rPr>
              <w:t>慢性阻塞性肺疾病（COPD）管理</w:t>
            </w:r>
          </w:p>
        </w:tc>
        <w:tc>
          <w:tcPr>
            <w:tcW w:w="1251" w:type="dxa"/>
            <w:vAlign w:val="center"/>
          </w:tcPr>
          <w:p w14:paraId="79BAAC67">
            <w:pPr>
              <w:pStyle w:val="15"/>
              <w:rPr>
                <w:rFonts w:hint="default" w:ascii="Times New Roman" w:hAnsi="Times New Roman" w:cs="Times New Roman"/>
                <w:color w:val="auto"/>
              </w:rPr>
            </w:pPr>
          </w:p>
        </w:tc>
        <w:tc>
          <w:tcPr>
            <w:tcW w:w="1251" w:type="dxa"/>
            <w:vAlign w:val="center"/>
          </w:tcPr>
          <w:p w14:paraId="1CC42EE1">
            <w:pPr>
              <w:pStyle w:val="15"/>
              <w:rPr>
                <w:rFonts w:hint="default" w:ascii="Times New Roman" w:hAnsi="Times New Roman" w:cs="Times New Roman"/>
                <w:color w:val="auto"/>
              </w:rPr>
            </w:pPr>
          </w:p>
        </w:tc>
        <w:tc>
          <w:tcPr>
            <w:tcW w:w="1251" w:type="dxa"/>
            <w:vAlign w:val="center"/>
          </w:tcPr>
          <w:p w14:paraId="15778907">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1252" w:type="dxa"/>
            <w:vAlign w:val="center"/>
          </w:tcPr>
          <w:p w14:paraId="4B6B3DEE">
            <w:pPr>
              <w:pStyle w:val="15"/>
              <w:rPr>
                <w:rFonts w:hint="default" w:ascii="Times New Roman" w:hAnsi="Times New Roman" w:cs="Times New Roman"/>
                <w:color w:val="auto"/>
              </w:rPr>
            </w:pPr>
          </w:p>
        </w:tc>
      </w:tr>
      <w:tr w14:paraId="20F8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0427B179">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eastAsia" w:ascii="Times New Roman" w:hAnsi="Times New Roman" w:cs="Times New Roman"/>
                <w:b w:val="0"/>
                <w:bCs w:val="0"/>
                <w:i w:val="0"/>
                <w:iCs w:val="0"/>
                <w:color w:val="auto"/>
                <w:kern w:val="0"/>
                <w:sz w:val="22"/>
                <w:szCs w:val="22"/>
                <w:u w:val="none"/>
                <w:lang w:val="en-US" w:eastAsia="zh-CN" w:bidi="ar"/>
              </w:rPr>
              <w:t>14.</w:t>
            </w:r>
            <w:r>
              <w:rPr>
                <w:rFonts w:hint="default" w:ascii="Segoe UI" w:hAnsi="Segoe UI" w:eastAsia="Segoe UI" w:cs="Segoe UI"/>
                <w:b w:val="0"/>
                <w:bCs w:val="0"/>
                <w:i w:val="0"/>
                <w:iCs w:val="0"/>
                <w:color w:val="auto"/>
                <w:kern w:val="0"/>
                <w:sz w:val="21"/>
                <w:szCs w:val="21"/>
                <w:u w:val="none"/>
                <w:lang w:val="en-US" w:eastAsia="zh-CN" w:bidi="ar"/>
              </w:rPr>
              <w:t>慢性肾脏病管理</w:t>
            </w:r>
          </w:p>
        </w:tc>
        <w:tc>
          <w:tcPr>
            <w:tcW w:w="1251" w:type="dxa"/>
            <w:vAlign w:val="center"/>
          </w:tcPr>
          <w:p w14:paraId="724CDCDC">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1251" w:type="dxa"/>
            <w:vAlign w:val="center"/>
          </w:tcPr>
          <w:p w14:paraId="528659D6">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1251" w:type="dxa"/>
            <w:vAlign w:val="center"/>
          </w:tcPr>
          <w:p w14:paraId="6FA249E0">
            <w:pPr>
              <w:pStyle w:val="15"/>
              <w:rPr>
                <w:rFonts w:hint="default" w:ascii="Times New Roman" w:hAnsi="Times New Roman" w:cs="Times New Roman"/>
                <w:color w:val="auto"/>
              </w:rPr>
            </w:pPr>
          </w:p>
        </w:tc>
        <w:tc>
          <w:tcPr>
            <w:tcW w:w="1252" w:type="dxa"/>
            <w:vAlign w:val="center"/>
          </w:tcPr>
          <w:p w14:paraId="79632917">
            <w:pPr>
              <w:pStyle w:val="15"/>
              <w:rPr>
                <w:rFonts w:hint="default" w:ascii="Times New Roman" w:hAnsi="Times New Roman" w:cs="Times New Roman"/>
                <w:color w:val="auto"/>
              </w:rPr>
            </w:pPr>
            <w:r>
              <w:rPr>
                <w:rFonts w:hint="default" w:ascii="Times New Roman" w:hAnsi="Times New Roman" w:cs="Times New Roman"/>
                <w:color w:val="auto"/>
              </w:rPr>
              <w:t>√</w:t>
            </w:r>
          </w:p>
        </w:tc>
      </w:tr>
      <w:tr w14:paraId="5DB1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318FB66A">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eastAsia" w:ascii="Times New Roman" w:hAnsi="Times New Roman" w:cs="Times New Roman"/>
                <w:b w:val="0"/>
                <w:bCs w:val="0"/>
                <w:i w:val="0"/>
                <w:iCs w:val="0"/>
                <w:color w:val="auto"/>
                <w:kern w:val="0"/>
                <w:sz w:val="22"/>
                <w:szCs w:val="22"/>
                <w:u w:val="none"/>
                <w:lang w:val="en-US" w:eastAsia="zh-CN" w:bidi="ar"/>
              </w:rPr>
              <w:t>15.</w:t>
            </w:r>
            <w:r>
              <w:rPr>
                <w:rFonts w:hint="default" w:ascii="Segoe UI" w:hAnsi="Segoe UI" w:eastAsia="Segoe UI" w:cs="Segoe UI"/>
                <w:b w:val="0"/>
                <w:bCs w:val="0"/>
                <w:i w:val="0"/>
                <w:iCs w:val="0"/>
                <w:color w:val="auto"/>
                <w:kern w:val="0"/>
                <w:sz w:val="21"/>
                <w:szCs w:val="21"/>
                <w:u w:val="none"/>
                <w:lang w:val="en-US" w:eastAsia="zh-CN" w:bidi="ar"/>
              </w:rPr>
              <w:t>膝骨关节炎管理</w:t>
            </w:r>
          </w:p>
        </w:tc>
        <w:tc>
          <w:tcPr>
            <w:tcW w:w="1251" w:type="dxa"/>
            <w:vAlign w:val="center"/>
          </w:tcPr>
          <w:p w14:paraId="6D7D0D82">
            <w:pPr>
              <w:pStyle w:val="15"/>
              <w:rPr>
                <w:rFonts w:hint="default" w:ascii="Times New Roman" w:hAnsi="Times New Roman" w:cs="Times New Roman"/>
                <w:color w:val="auto"/>
              </w:rPr>
            </w:pPr>
          </w:p>
        </w:tc>
        <w:tc>
          <w:tcPr>
            <w:tcW w:w="1251" w:type="dxa"/>
            <w:vAlign w:val="center"/>
          </w:tcPr>
          <w:p w14:paraId="21BCF7F7">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1251" w:type="dxa"/>
            <w:vAlign w:val="center"/>
          </w:tcPr>
          <w:p w14:paraId="5204453E">
            <w:pPr>
              <w:pStyle w:val="15"/>
              <w:rPr>
                <w:rFonts w:hint="default" w:ascii="Times New Roman" w:hAnsi="Times New Roman" w:cs="Times New Roman"/>
                <w:color w:val="auto"/>
              </w:rPr>
            </w:pPr>
          </w:p>
        </w:tc>
        <w:tc>
          <w:tcPr>
            <w:tcW w:w="1252" w:type="dxa"/>
            <w:vAlign w:val="center"/>
          </w:tcPr>
          <w:p w14:paraId="07AE75FD">
            <w:pPr>
              <w:pStyle w:val="15"/>
              <w:rPr>
                <w:rFonts w:hint="default" w:ascii="Times New Roman" w:hAnsi="Times New Roman" w:cs="Times New Roman"/>
                <w:color w:val="auto"/>
              </w:rPr>
            </w:pPr>
            <w:r>
              <w:rPr>
                <w:rFonts w:hint="default" w:ascii="Times New Roman" w:hAnsi="Times New Roman" w:cs="Times New Roman"/>
                <w:color w:val="auto"/>
              </w:rPr>
              <w:t>√</w:t>
            </w:r>
          </w:p>
        </w:tc>
      </w:tr>
      <w:tr w14:paraId="7D95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3A7FDFF3">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eastAsia" w:ascii="Times New Roman" w:hAnsi="Times New Roman" w:cs="Times New Roman"/>
                <w:b w:val="0"/>
                <w:bCs w:val="0"/>
                <w:i w:val="0"/>
                <w:iCs w:val="0"/>
                <w:color w:val="auto"/>
                <w:kern w:val="0"/>
                <w:sz w:val="22"/>
                <w:szCs w:val="22"/>
                <w:u w:val="none"/>
                <w:lang w:val="en-US" w:eastAsia="zh-CN" w:bidi="ar"/>
              </w:rPr>
              <w:t>16.</w:t>
            </w:r>
            <w:r>
              <w:rPr>
                <w:rFonts w:hint="default" w:ascii="Segoe UI" w:hAnsi="Segoe UI" w:eastAsia="Segoe UI" w:cs="Segoe UI"/>
                <w:b w:val="0"/>
                <w:bCs w:val="0"/>
                <w:i w:val="0"/>
                <w:iCs w:val="0"/>
                <w:color w:val="auto"/>
                <w:kern w:val="0"/>
                <w:sz w:val="21"/>
                <w:szCs w:val="21"/>
                <w:u w:val="none"/>
                <w:lang w:val="en-US" w:eastAsia="zh-CN" w:bidi="ar"/>
              </w:rPr>
              <w:t>安宁疗护</w:t>
            </w:r>
          </w:p>
        </w:tc>
        <w:tc>
          <w:tcPr>
            <w:tcW w:w="1251" w:type="dxa"/>
            <w:vAlign w:val="center"/>
          </w:tcPr>
          <w:p w14:paraId="3E87D547">
            <w:pPr>
              <w:pStyle w:val="15"/>
              <w:rPr>
                <w:rFonts w:hint="default" w:ascii="Times New Roman" w:hAnsi="Times New Roman" w:cs="Times New Roman"/>
                <w:color w:val="auto"/>
              </w:rPr>
            </w:pPr>
          </w:p>
        </w:tc>
        <w:tc>
          <w:tcPr>
            <w:tcW w:w="1251" w:type="dxa"/>
            <w:vAlign w:val="center"/>
          </w:tcPr>
          <w:p w14:paraId="0F4F0CE6">
            <w:pPr>
              <w:pStyle w:val="15"/>
              <w:rPr>
                <w:rFonts w:hint="default" w:ascii="Times New Roman" w:hAnsi="Times New Roman" w:cs="Times New Roman"/>
                <w:color w:val="auto"/>
              </w:rPr>
            </w:pPr>
          </w:p>
        </w:tc>
        <w:tc>
          <w:tcPr>
            <w:tcW w:w="1251" w:type="dxa"/>
            <w:vAlign w:val="center"/>
          </w:tcPr>
          <w:p w14:paraId="76A27442">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1252" w:type="dxa"/>
            <w:vAlign w:val="center"/>
          </w:tcPr>
          <w:p w14:paraId="1C93732D">
            <w:pPr>
              <w:pStyle w:val="15"/>
              <w:rPr>
                <w:rFonts w:hint="default" w:ascii="Times New Roman" w:hAnsi="Times New Roman" w:cs="Times New Roman"/>
                <w:color w:val="auto"/>
              </w:rPr>
            </w:pPr>
          </w:p>
        </w:tc>
      </w:tr>
      <w:tr w14:paraId="21D1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045" w:type="pct"/>
            <w:tcBorders>
              <w:left w:val="single" w:color="auto" w:sz="12" w:space="0"/>
            </w:tcBorders>
            <w:vAlign w:val="center"/>
          </w:tcPr>
          <w:p w14:paraId="32F4D1D9">
            <w:pPr>
              <w:keepNext w:val="0"/>
              <w:keepLines w:val="0"/>
              <w:widowControl/>
              <w:suppressLineNumbers w:val="0"/>
              <w:jc w:val="left"/>
              <w:textAlignment w:val="center"/>
              <w:rPr>
                <w:rFonts w:hint="default" w:ascii="Times New Roman" w:hAnsi="Times New Roman" w:cs="Times New Roman"/>
                <w:b w:val="0"/>
                <w:bCs w:val="0"/>
                <w:i w:val="0"/>
                <w:iCs w:val="0"/>
                <w:color w:val="auto"/>
                <w:kern w:val="0"/>
                <w:sz w:val="22"/>
                <w:szCs w:val="22"/>
                <w:u w:val="none"/>
                <w:lang w:val="en-US" w:eastAsia="zh-CN" w:bidi="ar"/>
              </w:rPr>
            </w:pPr>
            <w:r>
              <w:rPr>
                <w:rFonts w:hint="eastAsia" w:ascii="Times New Roman" w:hAnsi="Times New Roman" w:cs="Times New Roman"/>
                <w:b w:val="0"/>
                <w:bCs w:val="0"/>
                <w:i w:val="0"/>
                <w:iCs w:val="0"/>
                <w:color w:val="auto"/>
                <w:kern w:val="0"/>
                <w:sz w:val="22"/>
                <w:szCs w:val="22"/>
                <w:u w:val="none"/>
                <w:lang w:val="en-US" w:eastAsia="zh-CN" w:bidi="ar"/>
              </w:rPr>
              <w:t>17.随堂测验</w:t>
            </w:r>
          </w:p>
        </w:tc>
        <w:tc>
          <w:tcPr>
            <w:tcW w:w="1251" w:type="dxa"/>
            <w:vAlign w:val="center"/>
          </w:tcPr>
          <w:p w14:paraId="4C7766B3">
            <w:pPr>
              <w:pStyle w:val="15"/>
              <w:rPr>
                <w:rFonts w:hint="default" w:ascii="Times New Roman" w:hAnsi="Times New Roman" w:cs="Times New Roman"/>
                <w:color w:val="auto"/>
              </w:rPr>
            </w:pPr>
            <w:r>
              <w:rPr>
                <w:rFonts w:hint="default" w:ascii="Times New Roman" w:hAnsi="Times New Roman" w:cs="Times New Roman"/>
                <w:color w:val="auto"/>
              </w:rPr>
              <w:t>√</w:t>
            </w:r>
          </w:p>
        </w:tc>
        <w:tc>
          <w:tcPr>
            <w:tcW w:w="1251" w:type="dxa"/>
            <w:vAlign w:val="center"/>
          </w:tcPr>
          <w:p w14:paraId="3382868B">
            <w:pPr>
              <w:pStyle w:val="15"/>
              <w:rPr>
                <w:rFonts w:hint="default" w:ascii="Times New Roman" w:hAnsi="Times New Roman" w:cs="Times New Roman"/>
                <w:color w:val="auto"/>
              </w:rPr>
            </w:pPr>
          </w:p>
        </w:tc>
        <w:tc>
          <w:tcPr>
            <w:tcW w:w="1251" w:type="dxa"/>
            <w:vAlign w:val="center"/>
          </w:tcPr>
          <w:p w14:paraId="0328F42B">
            <w:pPr>
              <w:pStyle w:val="15"/>
              <w:rPr>
                <w:rFonts w:hint="default" w:ascii="Times New Roman" w:hAnsi="Times New Roman" w:cs="Times New Roman"/>
                <w:color w:val="auto"/>
              </w:rPr>
            </w:pPr>
          </w:p>
        </w:tc>
        <w:tc>
          <w:tcPr>
            <w:tcW w:w="1252" w:type="dxa"/>
            <w:vAlign w:val="center"/>
          </w:tcPr>
          <w:p w14:paraId="1B605CC0">
            <w:pPr>
              <w:pStyle w:val="15"/>
              <w:rPr>
                <w:rFonts w:hint="default" w:ascii="Times New Roman" w:hAnsi="Times New Roman" w:cs="Times New Roman"/>
                <w:color w:val="auto"/>
              </w:rPr>
            </w:pPr>
            <w:r>
              <w:rPr>
                <w:rFonts w:hint="default" w:ascii="Times New Roman" w:hAnsi="Times New Roman" w:cs="Times New Roman"/>
                <w:color w:val="auto"/>
              </w:rPr>
              <w:t>√</w:t>
            </w:r>
          </w:p>
        </w:tc>
      </w:tr>
    </w:tbl>
    <w:p w14:paraId="5FD82081">
      <w:pPr>
        <w:pStyle w:val="18"/>
        <w:spacing w:before="326" w:beforeLines="100" w:after="163"/>
        <w:rPr>
          <w:rFonts w:hint="default" w:ascii="Times New Roman" w:hAnsi="Times New Roman" w:cs="Times New Roman"/>
        </w:rPr>
      </w:pPr>
      <w:r>
        <w:rPr>
          <w:rFonts w:hint="default" w:ascii="Times New Roman" w:hAnsi="Times New Roman" w:cs="Times New Roman"/>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43"/>
        <w:gridCol w:w="2484"/>
        <w:gridCol w:w="1738"/>
        <w:gridCol w:w="725"/>
        <w:gridCol w:w="669"/>
        <w:gridCol w:w="717"/>
      </w:tblGrid>
      <w:tr w14:paraId="3D0B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43" w:type="dxa"/>
            <w:vMerge w:val="restart"/>
            <w:tcBorders>
              <w:top w:val="single" w:color="auto" w:sz="12" w:space="0"/>
              <w:left w:val="single" w:color="auto" w:sz="12" w:space="0"/>
            </w:tcBorders>
            <w:vAlign w:val="center"/>
          </w:tcPr>
          <w:p w14:paraId="625028C8">
            <w:pPr>
              <w:widowControl w:val="0"/>
              <w:snapToGrid w:val="0"/>
              <w:jc w:val="center"/>
              <w:rPr>
                <w:rFonts w:hint="default" w:ascii="Times New Roman" w:hAnsi="Times New Roman" w:eastAsia="黑体" w:cs="Times New Roman"/>
                <w:bCs/>
                <w:color w:val="auto"/>
                <w:sz w:val="21"/>
                <w:szCs w:val="21"/>
              </w:rPr>
            </w:pPr>
            <w:r>
              <w:rPr>
                <w:rFonts w:hint="default" w:ascii="Times New Roman" w:hAnsi="Times New Roman" w:eastAsia="黑体" w:cs="Times New Roman"/>
                <w:bCs/>
                <w:color w:val="auto"/>
                <w:sz w:val="21"/>
                <w:szCs w:val="21"/>
              </w:rPr>
              <w:t>教学单元</w:t>
            </w:r>
          </w:p>
        </w:tc>
        <w:tc>
          <w:tcPr>
            <w:tcW w:w="2484" w:type="dxa"/>
            <w:vMerge w:val="restart"/>
            <w:tcBorders>
              <w:top w:val="single" w:color="auto" w:sz="12" w:space="0"/>
            </w:tcBorders>
            <w:vAlign w:val="center"/>
          </w:tcPr>
          <w:p w14:paraId="35AE9F3A">
            <w:pPr>
              <w:pStyle w:val="14"/>
              <w:widowControl w:val="0"/>
              <w:rPr>
                <w:rFonts w:hint="default" w:ascii="Times New Roman" w:hAnsi="Times New Roman" w:cs="Times New Roman"/>
                <w:color w:val="auto"/>
                <w:szCs w:val="21"/>
              </w:rPr>
            </w:pPr>
            <w:r>
              <w:rPr>
                <w:rFonts w:hint="default" w:ascii="Times New Roman" w:hAnsi="Times New Roman" w:cs="Times New Roman"/>
                <w:color w:val="auto"/>
                <w:szCs w:val="21"/>
              </w:rPr>
              <w:t>教与学方式</w:t>
            </w:r>
          </w:p>
        </w:tc>
        <w:tc>
          <w:tcPr>
            <w:tcW w:w="1738" w:type="dxa"/>
            <w:vMerge w:val="restart"/>
            <w:tcBorders>
              <w:top w:val="single" w:color="auto" w:sz="12" w:space="0"/>
            </w:tcBorders>
            <w:vAlign w:val="center"/>
          </w:tcPr>
          <w:p w14:paraId="747C556C">
            <w:pPr>
              <w:pStyle w:val="14"/>
              <w:widowControl w:val="0"/>
              <w:rPr>
                <w:rFonts w:hint="default" w:ascii="Times New Roman" w:hAnsi="Times New Roman" w:cs="Times New Roman"/>
                <w:color w:val="auto"/>
                <w:szCs w:val="21"/>
              </w:rPr>
            </w:pPr>
            <w:r>
              <w:rPr>
                <w:rFonts w:hint="default" w:ascii="Times New Roman" w:hAnsi="Times New Roman" w:cs="Times New Roman"/>
                <w:color w:val="auto"/>
                <w:szCs w:val="21"/>
              </w:rPr>
              <w:t>考核方式</w:t>
            </w:r>
          </w:p>
        </w:tc>
        <w:tc>
          <w:tcPr>
            <w:tcW w:w="2111" w:type="dxa"/>
            <w:gridSpan w:val="3"/>
            <w:tcBorders>
              <w:top w:val="single" w:color="auto" w:sz="12" w:space="0"/>
              <w:right w:val="single" w:color="auto" w:sz="12" w:space="0"/>
            </w:tcBorders>
            <w:vAlign w:val="center"/>
          </w:tcPr>
          <w:p w14:paraId="0D26E23F">
            <w:pPr>
              <w:pStyle w:val="14"/>
              <w:widowControl w:val="0"/>
              <w:rPr>
                <w:rFonts w:hint="default" w:ascii="Times New Roman" w:hAnsi="Times New Roman" w:cs="Times New Roman"/>
                <w:color w:val="auto"/>
                <w:szCs w:val="21"/>
              </w:rPr>
            </w:pPr>
            <w:r>
              <w:rPr>
                <w:rFonts w:hint="default" w:ascii="Times New Roman" w:hAnsi="Times New Roman" w:cs="Times New Roman"/>
                <w:color w:val="auto"/>
                <w:szCs w:val="21"/>
              </w:rPr>
              <w:t>学时</w:t>
            </w:r>
            <w:r>
              <w:rPr>
                <w:rFonts w:hint="default" w:ascii="Times New Roman" w:hAnsi="Times New Roman" w:cs="Times New Roman"/>
                <w:bCs w:val="0"/>
                <w:color w:val="auto"/>
                <w:szCs w:val="21"/>
              </w:rPr>
              <w:t>分配</w:t>
            </w:r>
          </w:p>
        </w:tc>
      </w:tr>
      <w:tr w14:paraId="1453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43" w:type="dxa"/>
            <w:vMerge w:val="continue"/>
            <w:tcBorders>
              <w:left w:val="single" w:color="auto" w:sz="12" w:space="0"/>
            </w:tcBorders>
          </w:tcPr>
          <w:p w14:paraId="15EBC98F">
            <w:pPr>
              <w:widowControl w:val="0"/>
              <w:snapToGrid w:val="0"/>
              <w:jc w:val="center"/>
              <w:rPr>
                <w:rFonts w:hint="default" w:ascii="Times New Roman" w:hAnsi="Times New Roman" w:eastAsia="黑体" w:cs="Times New Roman"/>
                <w:bCs/>
                <w:color w:val="auto"/>
                <w:sz w:val="21"/>
                <w:szCs w:val="21"/>
              </w:rPr>
            </w:pPr>
          </w:p>
        </w:tc>
        <w:tc>
          <w:tcPr>
            <w:tcW w:w="2484" w:type="dxa"/>
            <w:vMerge w:val="continue"/>
          </w:tcPr>
          <w:p w14:paraId="1502DD36">
            <w:pPr>
              <w:widowControl w:val="0"/>
              <w:snapToGrid w:val="0"/>
              <w:jc w:val="center"/>
              <w:rPr>
                <w:rFonts w:hint="default" w:ascii="Times New Roman" w:hAnsi="Times New Roman" w:eastAsia="黑体" w:cs="Times New Roman"/>
                <w:bCs/>
                <w:color w:val="auto"/>
                <w:sz w:val="21"/>
                <w:szCs w:val="21"/>
              </w:rPr>
            </w:pPr>
          </w:p>
        </w:tc>
        <w:tc>
          <w:tcPr>
            <w:tcW w:w="1738" w:type="dxa"/>
            <w:vMerge w:val="continue"/>
          </w:tcPr>
          <w:p w14:paraId="1F7DFE68">
            <w:pPr>
              <w:widowControl w:val="0"/>
              <w:snapToGrid w:val="0"/>
              <w:jc w:val="center"/>
              <w:rPr>
                <w:rFonts w:hint="default" w:ascii="Times New Roman" w:hAnsi="Times New Roman" w:eastAsia="黑体" w:cs="Times New Roman"/>
                <w:bCs/>
                <w:color w:val="auto"/>
                <w:sz w:val="21"/>
                <w:szCs w:val="21"/>
              </w:rPr>
            </w:pPr>
          </w:p>
        </w:tc>
        <w:tc>
          <w:tcPr>
            <w:tcW w:w="725" w:type="dxa"/>
            <w:vAlign w:val="center"/>
          </w:tcPr>
          <w:p w14:paraId="133E9579">
            <w:pPr>
              <w:widowControl w:val="0"/>
              <w:snapToGrid w:val="0"/>
              <w:jc w:val="center"/>
              <w:rPr>
                <w:rFonts w:hint="default" w:ascii="Times New Roman" w:hAnsi="Times New Roman" w:eastAsia="黑体" w:cs="Times New Roman"/>
                <w:bCs/>
                <w:color w:val="auto"/>
                <w:sz w:val="21"/>
                <w:szCs w:val="21"/>
              </w:rPr>
            </w:pPr>
            <w:r>
              <w:rPr>
                <w:rFonts w:hint="default" w:ascii="Times New Roman" w:hAnsi="Times New Roman" w:eastAsia="黑体" w:cs="Times New Roman"/>
                <w:bCs/>
                <w:color w:val="auto"/>
                <w:sz w:val="21"/>
                <w:szCs w:val="21"/>
              </w:rPr>
              <w:t>理论</w:t>
            </w:r>
          </w:p>
        </w:tc>
        <w:tc>
          <w:tcPr>
            <w:tcW w:w="669" w:type="dxa"/>
            <w:vAlign w:val="center"/>
          </w:tcPr>
          <w:p w14:paraId="60742E53">
            <w:pPr>
              <w:widowControl w:val="0"/>
              <w:snapToGrid w:val="0"/>
              <w:jc w:val="center"/>
              <w:rPr>
                <w:rFonts w:hint="default" w:ascii="Times New Roman" w:hAnsi="Times New Roman" w:eastAsia="黑体" w:cs="Times New Roman"/>
                <w:bCs/>
                <w:color w:val="auto"/>
                <w:sz w:val="21"/>
                <w:szCs w:val="21"/>
              </w:rPr>
            </w:pPr>
            <w:r>
              <w:rPr>
                <w:rFonts w:hint="default" w:ascii="Times New Roman" w:hAnsi="Times New Roman" w:eastAsia="黑体" w:cs="Times New Roman"/>
                <w:bCs/>
                <w:color w:val="auto"/>
                <w:sz w:val="21"/>
                <w:szCs w:val="21"/>
              </w:rPr>
              <w:t>实践</w:t>
            </w:r>
          </w:p>
        </w:tc>
        <w:tc>
          <w:tcPr>
            <w:tcW w:w="717" w:type="dxa"/>
            <w:tcBorders>
              <w:right w:val="single" w:color="auto" w:sz="12" w:space="0"/>
            </w:tcBorders>
            <w:vAlign w:val="center"/>
          </w:tcPr>
          <w:p w14:paraId="55B4214F">
            <w:pPr>
              <w:widowControl w:val="0"/>
              <w:snapToGrid w:val="0"/>
              <w:jc w:val="center"/>
              <w:rPr>
                <w:rFonts w:hint="default" w:ascii="Times New Roman" w:hAnsi="Times New Roman" w:eastAsia="黑体" w:cs="Times New Roman"/>
                <w:bCs/>
                <w:color w:val="auto"/>
                <w:sz w:val="21"/>
                <w:szCs w:val="21"/>
              </w:rPr>
            </w:pPr>
            <w:r>
              <w:rPr>
                <w:rFonts w:hint="default" w:ascii="Times New Roman" w:hAnsi="Times New Roman" w:eastAsia="黑体" w:cs="Times New Roman"/>
                <w:bCs/>
                <w:color w:val="auto"/>
                <w:sz w:val="21"/>
                <w:szCs w:val="21"/>
              </w:rPr>
              <w:t>小计</w:t>
            </w:r>
          </w:p>
        </w:tc>
      </w:tr>
      <w:tr w14:paraId="12FE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143" w:type="dxa"/>
            <w:tcBorders>
              <w:left w:val="single" w:color="auto" w:sz="12" w:space="0"/>
            </w:tcBorders>
            <w:vAlign w:val="center"/>
          </w:tcPr>
          <w:p w14:paraId="35C0C527">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w:t>
            </w:r>
            <w:r>
              <w:rPr>
                <w:rFonts w:hint="eastAsia" w:ascii="宋体" w:hAnsi="宋体" w:eastAsia="宋体" w:cs="宋体"/>
                <w:b w:val="0"/>
                <w:bCs w:val="0"/>
                <w:i w:val="0"/>
                <w:iCs w:val="0"/>
                <w:color w:val="auto"/>
                <w:kern w:val="0"/>
                <w:sz w:val="21"/>
                <w:szCs w:val="21"/>
                <w:u w:val="none"/>
                <w:lang w:val="en-US" w:eastAsia="zh-CN" w:bidi="ar"/>
              </w:rPr>
              <w:t>慢性病概述</w:t>
            </w:r>
          </w:p>
        </w:tc>
        <w:tc>
          <w:tcPr>
            <w:tcW w:w="2484" w:type="dxa"/>
            <w:vAlign w:val="center"/>
          </w:tcPr>
          <w:p w14:paraId="6A7C39A5">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讲授+案例分析</w:t>
            </w:r>
          </w:p>
        </w:tc>
        <w:tc>
          <w:tcPr>
            <w:tcW w:w="1738" w:type="dxa"/>
            <w:vAlign w:val="center"/>
          </w:tcPr>
          <w:p w14:paraId="57869E33">
            <w:pPr>
              <w:keepNext w:val="0"/>
              <w:keepLines w:val="0"/>
              <w:widowControl/>
              <w:suppressLineNumbers w:val="0"/>
              <w:jc w:val="left"/>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理论考试</w:t>
            </w:r>
          </w:p>
        </w:tc>
        <w:tc>
          <w:tcPr>
            <w:tcW w:w="725" w:type="dxa"/>
            <w:vAlign w:val="top"/>
          </w:tcPr>
          <w:p w14:paraId="6A60F6A0">
            <w:pPr>
              <w:widowControl w:val="0"/>
              <w:jc w:val="both"/>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2</w:t>
            </w:r>
          </w:p>
        </w:tc>
        <w:tc>
          <w:tcPr>
            <w:tcW w:w="669" w:type="dxa"/>
            <w:vAlign w:val="top"/>
          </w:tcPr>
          <w:p w14:paraId="189AF040">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0</w:t>
            </w:r>
          </w:p>
        </w:tc>
        <w:tc>
          <w:tcPr>
            <w:tcW w:w="717" w:type="dxa"/>
            <w:tcBorders>
              <w:right w:val="single" w:color="auto" w:sz="12" w:space="0"/>
            </w:tcBorders>
            <w:vAlign w:val="top"/>
          </w:tcPr>
          <w:p w14:paraId="03AB442B">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p>
        </w:tc>
      </w:tr>
      <w:tr w14:paraId="7FCF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55DBA3E1">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2.</w:t>
            </w:r>
            <w:r>
              <w:rPr>
                <w:rFonts w:hint="default" w:ascii="Segoe UI" w:hAnsi="Segoe UI" w:eastAsia="Segoe UI" w:cs="Segoe UI"/>
                <w:b w:val="0"/>
                <w:bCs w:val="0"/>
                <w:i w:val="0"/>
                <w:iCs w:val="0"/>
                <w:color w:val="auto"/>
                <w:kern w:val="0"/>
                <w:sz w:val="21"/>
                <w:szCs w:val="21"/>
                <w:u w:val="none"/>
                <w:lang w:val="en-US" w:eastAsia="zh-CN" w:bidi="ar"/>
              </w:rPr>
              <w:t>慢性病社区防治与管理</w:t>
            </w:r>
          </w:p>
        </w:tc>
        <w:tc>
          <w:tcPr>
            <w:tcW w:w="2484" w:type="dxa"/>
            <w:vAlign w:val="center"/>
          </w:tcPr>
          <w:p w14:paraId="26EB97A7">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讲授+角色扮演</w:t>
            </w:r>
          </w:p>
        </w:tc>
        <w:tc>
          <w:tcPr>
            <w:tcW w:w="1738" w:type="dxa"/>
            <w:vAlign w:val="center"/>
          </w:tcPr>
          <w:p w14:paraId="4E69599D">
            <w:pPr>
              <w:keepNext w:val="0"/>
              <w:keepLines w:val="0"/>
              <w:widowControl/>
              <w:suppressLineNumbers w:val="0"/>
              <w:jc w:val="left"/>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i w:val="0"/>
                <w:iCs w:val="0"/>
                <w:color w:val="auto"/>
                <w:kern w:val="0"/>
                <w:sz w:val="22"/>
                <w:szCs w:val="22"/>
                <w:u w:val="none"/>
                <w:lang w:val="en-US" w:eastAsia="zh-CN" w:bidi="ar"/>
              </w:rPr>
              <w:t>理论+实践考核</w:t>
            </w:r>
          </w:p>
        </w:tc>
        <w:tc>
          <w:tcPr>
            <w:tcW w:w="725" w:type="dxa"/>
            <w:vAlign w:val="top"/>
          </w:tcPr>
          <w:p w14:paraId="3703D8F9">
            <w:pPr>
              <w:widowControl w:val="0"/>
              <w:jc w:val="both"/>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1</w:t>
            </w:r>
          </w:p>
        </w:tc>
        <w:tc>
          <w:tcPr>
            <w:tcW w:w="669" w:type="dxa"/>
            <w:vAlign w:val="top"/>
          </w:tcPr>
          <w:p w14:paraId="031C6B86">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0</w:t>
            </w:r>
          </w:p>
        </w:tc>
        <w:tc>
          <w:tcPr>
            <w:tcW w:w="717" w:type="dxa"/>
            <w:tcBorders>
              <w:right w:val="single" w:color="auto" w:sz="12" w:space="0"/>
            </w:tcBorders>
            <w:vAlign w:val="top"/>
          </w:tcPr>
          <w:p w14:paraId="0DE5F66C">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p>
        </w:tc>
      </w:tr>
      <w:tr w14:paraId="64B5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1F975B49">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3.</w:t>
            </w:r>
            <w:r>
              <w:rPr>
                <w:rFonts w:hint="default" w:ascii="Segoe UI" w:hAnsi="Segoe UI" w:eastAsia="Segoe UI" w:cs="Segoe UI"/>
                <w:b w:val="0"/>
                <w:bCs w:val="0"/>
                <w:i w:val="0"/>
                <w:iCs w:val="0"/>
                <w:color w:val="auto"/>
                <w:kern w:val="0"/>
                <w:sz w:val="21"/>
                <w:szCs w:val="21"/>
                <w:u w:val="none"/>
                <w:lang w:val="en-US" w:eastAsia="zh-CN" w:bidi="ar"/>
              </w:rPr>
              <w:t>慢性病社区健康教育</w:t>
            </w:r>
          </w:p>
        </w:tc>
        <w:tc>
          <w:tcPr>
            <w:tcW w:w="2484" w:type="dxa"/>
            <w:vAlign w:val="center"/>
          </w:tcPr>
          <w:p w14:paraId="4135B724">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小组讨论+实践操作</w:t>
            </w:r>
          </w:p>
        </w:tc>
        <w:tc>
          <w:tcPr>
            <w:tcW w:w="1738" w:type="dxa"/>
            <w:vAlign w:val="center"/>
          </w:tcPr>
          <w:p w14:paraId="72ABDF08">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实践考核</w:t>
            </w:r>
          </w:p>
        </w:tc>
        <w:tc>
          <w:tcPr>
            <w:tcW w:w="725" w:type="dxa"/>
            <w:vAlign w:val="top"/>
          </w:tcPr>
          <w:p w14:paraId="3F10E8E3">
            <w:pPr>
              <w:widowControl w:val="0"/>
              <w:jc w:val="both"/>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1</w:t>
            </w:r>
          </w:p>
        </w:tc>
        <w:tc>
          <w:tcPr>
            <w:tcW w:w="669" w:type="dxa"/>
            <w:vAlign w:val="top"/>
          </w:tcPr>
          <w:p w14:paraId="5CD49D4C">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0</w:t>
            </w:r>
          </w:p>
        </w:tc>
        <w:tc>
          <w:tcPr>
            <w:tcW w:w="717" w:type="dxa"/>
            <w:tcBorders>
              <w:right w:val="single" w:color="auto" w:sz="12" w:space="0"/>
            </w:tcBorders>
            <w:vAlign w:val="top"/>
          </w:tcPr>
          <w:p w14:paraId="5E758AF8">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p>
        </w:tc>
      </w:tr>
      <w:tr w14:paraId="0A3C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04A65227">
            <w:pPr>
              <w:keepNext w:val="0"/>
              <w:keepLines w:val="0"/>
              <w:widowControl/>
              <w:suppressLineNumbers w:val="0"/>
              <w:jc w:val="left"/>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4.</w:t>
            </w:r>
            <w:r>
              <w:rPr>
                <w:rFonts w:hint="default" w:ascii="Segoe UI" w:hAnsi="Segoe UI" w:eastAsia="Segoe UI" w:cs="Segoe UI"/>
                <w:b w:val="0"/>
                <w:bCs w:val="0"/>
                <w:i w:val="0"/>
                <w:iCs w:val="0"/>
                <w:color w:val="auto"/>
                <w:kern w:val="0"/>
                <w:sz w:val="21"/>
                <w:szCs w:val="21"/>
                <w:u w:val="none"/>
                <w:lang w:val="en-US" w:eastAsia="zh-CN" w:bidi="ar"/>
              </w:rPr>
              <w:t>健康管理概述</w:t>
            </w:r>
          </w:p>
        </w:tc>
        <w:tc>
          <w:tcPr>
            <w:tcW w:w="2484" w:type="dxa"/>
            <w:vAlign w:val="center"/>
          </w:tcPr>
          <w:p w14:paraId="7E8C4C43">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讲授+分组讨论</w:t>
            </w:r>
          </w:p>
        </w:tc>
        <w:tc>
          <w:tcPr>
            <w:tcW w:w="1738" w:type="dxa"/>
            <w:vAlign w:val="center"/>
          </w:tcPr>
          <w:p w14:paraId="0D4B6A56">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理论+实践考核</w:t>
            </w:r>
          </w:p>
        </w:tc>
        <w:tc>
          <w:tcPr>
            <w:tcW w:w="725" w:type="dxa"/>
            <w:vAlign w:val="top"/>
          </w:tcPr>
          <w:p w14:paraId="4F93CE6E">
            <w:pPr>
              <w:widowControl w:val="0"/>
              <w:jc w:val="both"/>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1</w:t>
            </w:r>
          </w:p>
        </w:tc>
        <w:tc>
          <w:tcPr>
            <w:tcW w:w="669" w:type="dxa"/>
            <w:vAlign w:val="top"/>
          </w:tcPr>
          <w:p w14:paraId="37202C6F">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0</w:t>
            </w:r>
          </w:p>
        </w:tc>
        <w:tc>
          <w:tcPr>
            <w:tcW w:w="717" w:type="dxa"/>
            <w:tcBorders>
              <w:right w:val="single" w:color="auto" w:sz="12" w:space="0"/>
            </w:tcBorders>
            <w:vAlign w:val="top"/>
          </w:tcPr>
          <w:p w14:paraId="5CD22A38">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p>
        </w:tc>
      </w:tr>
      <w:tr w14:paraId="725C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3A6F089C">
            <w:pPr>
              <w:keepNext w:val="0"/>
              <w:keepLines w:val="0"/>
              <w:widowControl/>
              <w:suppressLineNumbers w:val="0"/>
              <w:jc w:val="left"/>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val="0"/>
                <w:bCs w:val="0"/>
                <w:i w:val="0"/>
                <w:iCs w:val="0"/>
                <w:color w:val="auto"/>
                <w:kern w:val="0"/>
                <w:sz w:val="22"/>
                <w:szCs w:val="22"/>
                <w:u w:val="none"/>
                <w:lang w:val="en-US" w:eastAsia="zh-CN" w:bidi="ar"/>
              </w:rPr>
              <w:t>5.</w:t>
            </w:r>
            <w:r>
              <w:rPr>
                <w:rFonts w:hint="default" w:ascii="Segoe UI" w:hAnsi="Segoe UI" w:eastAsia="Segoe UI" w:cs="Segoe UI"/>
                <w:b w:val="0"/>
                <w:bCs w:val="0"/>
                <w:i w:val="0"/>
                <w:iCs w:val="0"/>
                <w:color w:val="auto"/>
                <w:kern w:val="0"/>
                <w:sz w:val="21"/>
                <w:szCs w:val="21"/>
                <w:u w:val="none"/>
                <w:lang w:val="en-US" w:eastAsia="zh-CN" w:bidi="ar"/>
              </w:rPr>
              <w:t>健康体检</w:t>
            </w:r>
          </w:p>
        </w:tc>
        <w:tc>
          <w:tcPr>
            <w:tcW w:w="2484" w:type="dxa"/>
            <w:vAlign w:val="center"/>
          </w:tcPr>
          <w:p w14:paraId="52CA1060">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讲授+角色扮演</w:t>
            </w:r>
          </w:p>
        </w:tc>
        <w:tc>
          <w:tcPr>
            <w:tcW w:w="1738" w:type="dxa"/>
            <w:vAlign w:val="center"/>
          </w:tcPr>
          <w:p w14:paraId="467BD823">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实践考核</w:t>
            </w:r>
          </w:p>
        </w:tc>
        <w:tc>
          <w:tcPr>
            <w:tcW w:w="725" w:type="dxa"/>
            <w:vAlign w:val="top"/>
          </w:tcPr>
          <w:p w14:paraId="3CA2DE5B">
            <w:pPr>
              <w:widowControl w:val="0"/>
              <w:jc w:val="both"/>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1</w:t>
            </w:r>
          </w:p>
        </w:tc>
        <w:tc>
          <w:tcPr>
            <w:tcW w:w="669" w:type="dxa"/>
            <w:vAlign w:val="top"/>
          </w:tcPr>
          <w:p w14:paraId="7A5CC7D5">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0</w:t>
            </w:r>
          </w:p>
        </w:tc>
        <w:tc>
          <w:tcPr>
            <w:tcW w:w="717" w:type="dxa"/>
            <w:tcBorders>
              <w:right w:val="single" w:color="auto" w:sz="12" w:space="0"/>
            </w:tcBorders>
            <w:vAlign w:val="top"/>
          </w:tcPr>
          <w:p w14:paraId="00945C75">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p>
        </w:tc>
      </w:tr>
      <w:tr w14:paraId="6BE9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0978769F">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6.</w:t>
            </w:r>
            <w:r>
              <w:rPr>
                <w:rFonts w:hint="default" w:ascii="Segoe UI" w:hAnsi="Segoe UI" w:eastAsia="Segoe UI" w:cs="Segoe UI"/>
                <w:b w:val="0"/>
                <w:bCs w:val="0"/>
                <w:i w:val="0"/>
                <w:iCs w:val="0"/>
                <w:color w:val="auto"/>
                <w:kern w:val="0"/>
                <w:sz w:val="21"/>
                <w:szCs w:val="21"/>
                <w:u w:val="none"/>
                <w:lang w:val="en-US" w:eastAsia="zh-CN" w:bidi="ar"/>
              </w:rPr>
              <w:t>高血压管理</w:t>
            </w:r>
          </w:p>
        </w:tc>
        <w:tc>
          <w:tcPr>
            <w:tcW w:w="2484" w:type="dxa"/>
            <w:vAlign w:val="center"/>
          </w:tcPr>
          <w:p w14:paraId="6D32F262">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案例分析+小组讨论</w:t>
            </w:r>
          </w:p>
        </w:tc>
        <w:tc>
          <w:tcPr>
            <w:tcW w:w="1738" w:type="dxa"/>
            <w:vAlign w:val="center"/>
          </w:tcPr>
          <w:p w14:paraId="6B3F8933">
            <w:pPr>
              <w:keepNext w:val="0"/>
              <w:keepLines w:val="0"/>
              <w:widowControl/>
              <w:suppressLineNumbers w:val="0"/>
              <w:jc w:val="left"/>
              <w:textAlignment w:val="center"/>
              <w:rPr>
                <w:rFonts w:hint="default" w:ascii="Times New Roman" w:hAnsi="Times New Roman" w:eastAsia="宋体" w:cs="Times New Roman"/>
                <w:b w:val="0"/>
                <w:bCs w:val="0"/>
                <w:color w:val="auto"/>
                <w:kern w:val="0"/>
                <w:sz w:val="21"/>
                <w:szCs w:val="21"/>
                <w:lang w:val="en-US" w:eastAsia="zh-CN" w:bidi="ar-SA"/>
              </w:rPr>
            </w:pPr>
            <w:r>
              <w:rPr>
                <w:rFonts w:hint="default" w:ascii="Segoe UI" w:hAnsi="Segoe UI" w:eastAsia="Segoe UI" w:cs="Segoe UI"/>
                <w:b w:val="0"/>
                <w:bCs w:val="0"/>
                <w:i w:val="0"/>
                <w:iCs w:val="0"/>
                <w:color w:val="auto"/>
                <w:kern w:val="0"/>
                <w:sz w:val="21"/>
                <w:szCs w:val="21"/>
                <w:u w:val="none"/>
                <w:lang w:val="en-US" w:eastAsia="zh-CN" w:bidi="ar"/>
              </w:rPr>
              <w:t>案例分析</w:t>
            </w:r>
          </w:p>
        </w:tc>
        <w:tc>
          <w:tcPr>
            <w:tcW w:w="725" w:type="dxa"/>
            <w:vAlign w:val="top"/>
          </w:tcPr>
          <w:p w14:paraId="56FE22D0">
            <w:pPr>
              <w:widowControl w:val="0"/>
              <w:jc w:val="both"/>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2</w:t>
            </w:r>
          </w:p>
        </w:tc>
        <w:tc>
          <w:tcPr>
            <w:tcW w:w="669" w:type="dxa"/>
            <w:vAlign w:val="top"/>
          </w:tcPr>
          <w:p w14:paraId="07B01C6F">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p>
        </w:tc>
        <w:tc>
          <w:tcPr>
            <w:tcW w:w="717" w:type="dxa"/>
            <w:tcBorders>
              <w:right w:val="single" w:color="auto" w:sz="12" w:space="0"/>
            </w:tcBorders>
            <w:vAlign w:val="top"/>
          </w:tcPr>
          <w:p w14:paraId="682C5EE7">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3</w:t>
            </w:r>
          </w:p>
        </w:tc>
      </w:tr>
      <w:tr w14:paraId="5901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143" w:type="dxa"/>
            <w:tcBorders>
              <w:left w:val="single" w:color="auto" w:sz="12" w:space="0"/>
            </w:tcBorders>
            <w:vAlign w:val="center"/>
          </w:tcPr>
          <w:p w14:paraId="7020935F">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7.</w:t>
            </w:r>
            <w:r>
              <w:rPr>
                <w:rFonts w:hint="default" w:ascii="Segoe UI" w:hAnsi="Segoe UI" w:eastAsia="Segoe UI" w:cs="Segoe UI"/>
                <w:b w:val="0"/>
                <w:bCs w:val="0"/>
                <w:i w:val="0"/>
                <w:iCs w:val="0"/>
                <w:color w:val="auto"/>
                <w:kern w:val="0"/>
                <w:sz w:val="21"/>
                <w:szCs w:val="21"/>
                <w:u w:val="none"/>
                <w:lang w:val="en-US" w:eastAsia="zh-CN" w:bidi="ar"/>
              </w:rPr>
              <w:t>冠心病与介入术后管理</w:t>
            </w:r>
          </w:p>
        </w:tc>
        <w:tc>
          <w:tcPr>
            <w:tcW w:w="2484" w:type="dxa"/>
            <w:vAlign w:val="center"/>
          </w:tcPr>
          <w:p w14:paraId="499F8120">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讲授+模拟操作</w:t>
            </w:r>
          </w:p>
        </w:tc>
        <w:tc>
          <w:tcPr>
            <w:tcW w:w="1738" w:type="dxa"/>
            <w:vAlign w:val="center"/>
          </w:tcPr>
          <w:p w14:paraId="0184729B">
            <w:pPr>
              <w:keepNext w:val="0"/>
              <w:keepLines w:val="0"/>
              <w:widowControl/>
              <w:suppressLineNumbers w:val="0"/>
              <w:jc w:val="left"/>
              <w:textAlignment w:val="center"/>
              <w:rPr>
                <w:rFonts w:hint="default" w:ascii="Times New Roman" w:hAnsi="Times New Roman" w:eastAsia="宋体" w:cs="Times New Roman"/>
                <w:b w:val="0"/>
                <w:bCs w:val="0"/>
                <w:color w:val="auto"/>
                <w:sz w:val="21"/>
                <w:szCs w:val="21"/>
                <w:lang w:val="en-US" w:eastAsia="zh-CN"/>
              </w:rPr>
            </w:pPr>
            <w:r>
              <w:rPr>
                <w:rFonts w:hint="default" w:ascii="Segoe UI" w:hAnsi="Segoe UI" w:eastAsia="Segoe UI" w:cs="Segoe UI"/>
                <w:b w:val="0"/>
                <w:bCs w:val="0"/>
                <w:i w:val="0"/>
                <w:iCs w:val="0"/>
                <w:color w:val="auto"/>
                <w:kern w:val="0"/>
                <w:sz w:val="21"/>
                <w:szCs w:val="21"/>
                <w:u w:val="none"/>
                <w:lang w:val="en-US" w:eastAsia="zh-CN" w:bidi="ar"/>
              </w:rPr>
              <w:t>案例分析</w:t>
            </w:r>
          </w:p>
        </w:tc>
        <w:tc>
          <w:tcPr>
            <w:tcW w:w="725" w:type="dxa"/>
            <w:vAlign w:val="top"/>
          </w:tcPr>
          <w:p w14:paraId="0E890757">
            <w:pPr>
              <w:widowControl w:val="0"/>
              <w:jc w:val="both"/>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color w:val="auto"/>
              </w:rPr>
              <w:t>2</w:t>
            </w:r>
          </w:p>
        </w:tc>
        <w:tc>
          <w:tcPr>
            <w:tcW w:w="669" w:type="dxa"/>
            <w:vAlign w:val="top"/>
          </w:tcPr>
          <w:p w14:paraId="3E43B74E">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p>
        </w:tc>
        <w:tc>
          <w:tcPr>
            <w:tcW w:w="717" w:type="dxa"/>
            <w:tcBorders>
              <w:right w:val="single" w:color="auto" w:sz="12" w:space="0"/>
            </w:tcBorders>
            <w:vAlign w:val="top"/>
          </w:tcPr>
          <w:p w14:paraId="2A9DB669">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3</w:t>
            </w:r>
          </w:p>
        </w:tc>
      </w:tr>
      <w:tr w14:paraId="1E73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689AA640">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8.</w:t>
            </w:r>
            <w:r>
              <w:rPr>
                <w:rFonts w:hint="default" w:ascii="Segoe UI" w:hAnsi="Segoe UI" w:eastAsia="Segoe UI" w:cs="Segoe UI"/>
                <w:b w:val="0"/>
                <w:bCs w:val="0"/>
                <w:i w:val="0"/>
                <w:iCs w:val="0"/>
                <w:color w:val="auto"/>
                <w:kern w:val="0"/>
                <w:sz w:val="21"/>
                <w:szCs w:val="21"/>
                <w:u w:val="none"/>
                <w:lang w:val="en-US" w:eastAsia="zh-CN" w:bidi="ar"/>
              </w:rPr>
              <w:t>血脂异常管理</w:t>
            </w:r>
          </w:p>
        </w:tc>
        <w:tc>
          <w:tcPr>
            <w:tcW w:w="2484" w:type="dxa"/>
            <w:vAlign w:val="center"/>
          </w:tcPr>
          <w:p w14:paraId="693211A8">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案例分析+讨论</w:t>
            </w:r>
          </w:p>
        </w:tc>
        <w:tc>
          <w:tcPr>
            <w:tcW w:w="1738" w:type="dxa"/>
            <w:vAlign w:val="center"/>
          </w:tcPr>
          <w:p w14:paraId="4887E44D">
            <w:pPr>
              <w:keepNext w:val="0"/>
              <w:keepLines w:val="0"/>
              <w:widowControl/>
              <w:suppressLineNumbers w:val="0"/>
              <w:jc w:val="left"/>
              <w:textAlignment w:val="center"/>
              <w:rPr>
                <w:rFonts w:hint="default" w:ascii="Times New Roman" w:hAnsi="Times New Roman" w:eastAsia="宋体" w:cs="Times New Roman"/>
                <w:b w:val="0"/>
                <w:bCs w:val="0"/>
                <w:color w:val="auto"/>
                <w:sz w:val="21"/>
                <w:szCs w:val="21"/>
                <w:lang w:val="en-US" w:eastAsia="zh-CN"/>
              </w:rPr>
            </w:pPr>
            <w:r>
              <w:rPr>
                <w:rFonts w:hint="default" w:ascii="Segoe UI" w:hAnsi="Segoe UI" w:eastAsia="Segoe UI" w:cs="Segoe UI"/>
                <w:b w:val="0"/>
                <w:bCs w:val="0"/>
                <w:i w:val="0"/>
                <w:iCs w:val="0"/>
                <w:color w:val="auto"/>
                <w:kern w:val="0"/>
                <w:sz w:val="21"/>
                <w:szCs w:val="21"/>
                <w:u w:val="none"/>
                <w:lang w:val="en-US" w:eastAsia="zh-CN" w:bidi="ar"/>
              </w:rPr>
              <w:t>案例分析</w:t>
            </w:r>
          </w:p>
        </w:tc>
        <w:tc>
          <w:tcPr>
            <w:tcW w:w="725" w:type="dxa"/>
            <w:vAlign w:val="top"/>
          </w:tcPr>
          <w:p w14:paraId="28AB8695">
            <w:pPr>
              <w:widowControl w:val="0"/>
              <w:jc w:val="both"/>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color w:val="auto"/>
              </w:rPr>
              <w:t>1</w:t>
            </w:r>
          </w:p>
        </w:tc>
        <w:tc>
          <w:tcPr>
            <w:tcW w:w="669" w:type="dxa"/>
            <w:vAlign w:val="top"/>
          </w:tcPr>
          <w:p w14:paraId="72F3B11E">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p>
        </w:tc>
        <w:tc>
          <w:tcPr>
            <w:tcW w:w="717" w:type="dxa"/>
            <w:tcBorders>
              <w:right w:val="single" w:color="auto" w:sz="12" w:space="0"/>
            </w:tcBorders>
            <w:vAlign w:val="top"/>
          </w:tcPr>
          <w:p w14:paraId="49894BC8">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p>
        </w:tc>
      </w:tr>
      <w:tr w14:paraId="0177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44D703BA">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9.</w:t>
            </w:r>
            <w:r>
              <w:rPr>
                <w:rFonts w:hint="default" w:ascii="Segoe UI" w:hAnsi="Segoe UI" w:eastAsia="Segoe UI" w:cs="Segoe UI"/>
                <w:b w:val="0"/>
                <w:bCs w:val="0"/>
                <w:i w:val="0"/>
                <w:iCs w:val="0"/>
                <w:color w:val="auto"/>
                <w:kern w:val="0"/>
                <w:sz w:val="21"/>
                <w:szCs w:val="21"/>
                <w:u w:val="none"/>
                <w:lang w:val="en-US" w:eastAsia="zh-CN" w:bidi="ar"/>
              </w:rPr>
              <w:t>脑卒中管理</w:t>
            </w:r>
          </w:p>
        </w:tc>
        <w:tc>
          <w:tcPr>
            <w:tcW w:w="2484" w:type="dxa"/>
            <w:vAlign w:val="center"/>
          </w:tcPr>
          <w:p w14:paraId="2354A78C">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角色扮演+实践操作</w:t>
            </w:r>
          </w:p>
        </w:tc>
        <w:tc>
          <w:tcPr>
            <w:tcW w:w="1738" w:type="dxa"/>
            <w:vAlign w:val="center"/>
          </w:tcPr>
          <w:p w14:paraId="2D2360AF">
            <w:pPr>
              <w:keepNext w:val="0"/>
              <w:keepLines w:val="0"/>
              <w:widowControl/>
              <w:suppressLineNumbers w:val="0"/>
              <w:jc w:val="left"/>
              <w:textAlignment w:val="center"/>
              <w:rPr>
                <w:rFonts w:hint="default" w:ascii="Times New Roman" w:hAnsi="Times New Roman" w:eastAsia="宋体" w:cs="Times New Roman"/>
                <w:b w:val="0"/>
                <w:bCs w:val="0"/>
                <w:color w:val="auto"/>
                <w:sz w:val="21"/>
                <w:szCs w:val="21"/>
                <w:lang w:val="en-US" w:eastAsia="zh-CN"/>
              </w:rPr>
            </w:pPr>
            <w:r>
              <w:rPr>
                <w:rFonts w:hint="default" w:ascii="Segoe UI" w:hAnsi="Segoe UI" w:eastAsia="Segoe UI" w:cs="Segoe UI"/>
                <w:b w:val="0"/>
                <w:bCs w:val="0"/>
                <w:i w:val="0"/>
                <w:iCs w:val="0"/>
                <w:color w:val="auto"/>
                <w:kern w:val="0"/>
                <w:sz w:val="21"/>
                <w:szCs w:val="21"/>
                <w:u w:val="none"/>
                <w:lang w:val="en-US" w:eastAsia="zh-CN" w:bidi="ar"/>
              </w:rPr>
              <w:t>案例分析</w:t>
            </w:r>
          </w:p>
        </w:tc>
        <w:tc>
          <w:tcPr>
            <w:tcW w:w="725" w:type="dxa"/>
            <w:vAlign w:val="top"/>
          </w:tcPr>
          <w:p w14:paraId="0133A4BD">
            <w:pPr>
              <w:widowControl w:val="0"/>
              <w:jc w:val="both"/>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1</w:t>
            </w:r>
          </w:p>
        </w:tc>
        <w:tc>
          <w:tcPr>
            <w:tcW w:w="669" w:type="dxa"/>
            <w:vAlign w:val="top"/>
          </w:tcPr>
          <w:p w14:paraId="777E254D">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p>
        </w:tc>
        <w:tc>
          <w:tcPr>
            <w:tcW w:w="717" w:type="dxa"/>
            <w:tcBorders>
              <w:right w:val="single" w:color="auto" w:sz="12" w:space="0"/>
            </w:tcBorders>
            <w:vAlign w:val="top"/>
          </w:tcPr>
          <w:p w14:paraId="32F82817">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p>
        </w:tc>
      </w:tr>
      <w:tr w14:paraId="3954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7A7041C2">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10.</w:t>
            </w:r>
            <w:r>
              <w:rPr>
                <w:rFonts w:hint="default" w:ascii="Segoe UI" w:hAnsi="Segoe UI" w:eastAsia="Segoe UI" w:cs="Segoe UI"/>
                <w:b w:val="0"/>
                <w:bCs w:val="0"/>
                <w:i w:val="0"/>
                <w:iCs w:val="0"/>
                <w:color w:val="auto"/>
                <w:kern w:val="0"/>
                <w:sz w:val="21"/>
                <w:szCs w:val="21"/>
                <w:u w:val="none"/>
                <w:lang w:val="en-US" w:eastAsia="zh-CN" w:bidi="ar"/>
              </w:rPr>
              <w:t>糖尿病管理</w:t>
            </w:r>
          </w:p>
        </w:tc>
        <w:tc>
          <w:tcPr>
            <w:tcW w:w="2484" w:type="dxa"/>
            <w:vAlign w:val="center"/>
          </w:tcPr>
          <w:p w14:paraId="00E8BA33">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讲授+小组讨论</w:t>
            </w:r>
          </w:p>
        </w:tc>
        <w:tc>
          <w:tcPr>
            <w:tcW w:w="1738" w:type="dxa"/>
            <w:vAlign w:val="center"/>
          </w:tcPr>
          <w:p w14:paraId="25A01BEF">
            <w:pPr>
              <w:keepNext w:val="0"/>
              <w:keepLines w:val="0"/>
              <w:widowControl/>
              <w:suppressLineNumbers w:val="0"/>
              <w:jc w:val="left"/>
              <w:textAlignment w:val="center"/>
              <w:rPr>
                <w:rFonts w:hint="default" w:ascii="Times New Roman" w:hAnsi="Times New Roman" w:eastAsia="宋体" w:cs="Times New Roman"/>
                <w:b w:val="0"/>
                <w:bCs w:val="0"/>
                <w:color w:val="auto"/>
                <w:sz w:val="21"/>
                <w:szCs w:val="21"/>
                <w:lang w:val="en-US" w:eastAsia="zh-CN"/>
              </w:rPr>
            </w:pPr>
            <w:r>
              <w:rPr>
                <w:rFonts w:hint="default" w:ascii="Segoe UI" w:hAnsi="Segoe UI" w:eastAsia="Segoe UI" w:cs="Segoe UI"/>
                <w:b w:val="0"/>
                <w:bCs w:val="0"/>
                <w:i w:val="0"/>
                <w:iCs w:val="0"/>
                <w:color w:val="auto"/>
                <w:kern w:val="0"/>
                <w:sz w:val="21"/>
                <w:szCs w:val="21"/>
                <w:u w:val="none"/>
                <w:lang w:val="en-US" w:eastAsia="zh-CN" w:bidi="ar"/>
              </w:rPr>
              <w:t>案例分析</w:t>
            </w:r>
          </w:p>
        </w:tc>
        <w:tc>
          <w:tcPr>
            <w:tcW w:w="725" w:type="dxa"/>
            <w:vAlign w:val="top"/>
          </w:tcPr>
          <w:p w14:paraId="085F1D80">
            <w:pPr>
              <w:widowControl w:val="0"/>
              <w:jc w:val="both"/>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color w:val="auto"/>
              </w:rPr>
              <w:t>1</w:t>
            </w:r>
          </w:p>
        </w:tc>
        <w:tc>
          <w:tcPr>
            <w:tcW w:w="669" w:type="dxa"/>
            <w:vAlign w:val="top"/>
          </w:tcPr>
          <w:p w14:paraId="6A9C4B7B">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p>
        </w:tc>
        <w:tc>
          <w:tcPr>
            <w:tcW w:w="717" w:type="dxa"/>
            <w:tcBorders>
              <w:right w:val="single" w:color="auto" w:sz="12" w:space="0"/>
            </w:tcBorders>
            <w:vAlign w:val="top"/>
          </w:tcPr>
          <w:p w14:paraId="4F307CD2">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2</w:t>
            </w:r>
          </w:p>
        </w:tc>
      </w:tr>
      <w:tr w14:paraId="0A18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7905F660">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11.</w:t>
            </w:r>
            <w:r>
              <w:rPr>
                <w:rFonts w:hint="default" w:ascii="Segoe UI" w:hAnsi="Segoe UI" w:eastAsia="Segoe UI" w:cs="Segoe UI"/>
                <w:b w:val="0"/>
                <w:bCs w:val="0"/>
                <w:i w:val="0"/>
                <w:iCs w:val="0"/>
                <w:color w:val="auto"/>
                <w:kern w:val="0"/>
                <w:sz w:val="21"/>
                <w:szCs w:val="21"/>
                <w:u w:val="none"/>
                <w:lang w:val="en-US" w:eastAsia="zh-CN" w:bidi="ar"/>
              </w:rPr>
              <w:t>高尿酸症及痛风管理</w:t>
            </w:r>
          </w:p>
        </w:tc>
        <w:tc>
          <w:tcPr>
            <w:tcW w:w="2484" w:type="dxa"/>
            <w:vAlign w:val="center"/>
          </w:tcPr>
          <w:p w14:paraId="347625C1">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SA"/>
              </w:rPr>
            </w:pPr>
            <w:r>
              <w:rPr>
                <w:rFonts w:hint="default" w:ascii="Segoe UI" w:hAnsi="Segoe UI" w:eastAsia="Segoe UI" w:cs="Segoe UI"/>
                <w:i w:val="0"/>
                <w:iCs w:val="0"/>
                <w:color w:val="auto"/>
                <w:kern w:val="0"/>
                <w:sz w:val="21"/>
                <w:szCs w:val="21"/>
                <w:u w:val="none"/>
                <w:lang w:val="en-US" w:eastAsia="zh-CN" w:bidi="ar"/>
              </w:rPr>
              <w:t>案例分析+角色扮演</w:t>
            </w:r>
          </w:p>
        </w:tc>
        <w:tc>
          <w:tcPr>
            <w:tcW w:w="1738" w:type="dxa"/>
            <w:vAlign w:val="center"/>
          </w:tcPr>
          <w:p w14:paraId="707FB59C">
            <w:pPr>
              <w:keepNext w:val="0"/>
              <w:keepLines w:val="0"/>
              <w:widowControl/>
              <w:suppressLineNumbers w:val="0"/>
              <w:jc w:val="left"/>
              <w:textAlignment w:val="center"/>
              <w:rPr>
                <w:rFonts w:hint="default" w:ascii="Times New Roman" w:hAnsi="Times New Roman" w:eastAsia="宋体" w:cs="Times New Roman"/>
                <w:b w:val="0"/>
                <w:bCs w:val="0"/>
                <w:color w:val="auto"/>
                <w:sz w:val="21"/>
                <w:szCs w:val="21"/>
                <w:lang w:val="en-US" w:eastAsia="zh-CN"/>
              </w:rPr>
            </w:pPr>
            <w:r>
              <w:rPr>
                <w:rFonts w:hint="default" w:ascii="Segoe UI" w:hAnsi="Segoe UI" w:eastAsia="Segoe UI" w:cs="Segoe UI"/>
                <w:b w:val="0"/>
                <w:bCs w:val="0"/>
                <w:i w:val="0"/>
                <w:iCs w:val="0"/>
                <w:color w:val="auto"/>
                <w:kern w:val="0"/>
                <w:sz w:val="21"/>
                <w:szCs w:val="21"/>
                <w:u w:val="none"/>
                <w:lang w:val="en-US" w:eastAsia="zh-CN" w:bidi="ar"/>
              </w:rPr>
              <w:t>案例分析</w:t>
            </w:r>
          </w:p>
        </w:tc>
        <w:tc>
          <w:tcPr>
            <w:tcW w:w="725" w:type="dxa"/>
            <w:vAlign w:val="top"/>
          </w:tcPr>
          <w:p w14:paraId="397A99FA">
            <w:pPr>
              <w:widowControl w:val="0"/>
              <w:jc w:val="both"/>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2</w:t>
            </w:r>
          </w:p>
        </w:tc>
        <w:tc>
          <w:tcPr>
            <w:tcW w:w="669" w:type="dxa"/>
            <w:vAlign w:val="top"/>
          </w:tcPr>
          <w:p w14:paraId="1842807A">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w:t>
            </w:r>
          </w:p>
        </w:tc>
        <w:tc>
          <w:tcPr>
            <w:tcW w:w="717" w:type="dxa"/>
            <w:tcBorders>
              <w:right w:val="single" w:color="auto" w:sz="12" w:space="0"/>
            </w:tcBorders>
            <w:vAlign w:val="top"/>
          </w:tcPr>
          <w:p w14:paraId="24FA6063">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3</w:t>
            </w:r>
          </w:p>
        </w:tc>
      </w:tr>
      <w:tr w14:paraId="574C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0AC97D24">
            <w:pPr>
              <w:keepNext w:val="0"/>
              <w:keepLines w:val="0"/>
              <w:widowControl/>
              <w:suppressLineNumbers w:val="0"/>
              <w:jc w:val="left"/>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val="0"/>
                <w:bCs w:val="0"/>
                <w:i w:val="0"/>
                <w:iCs w:val="0"/>
                <w:color w:val="auto"/>
                <w:kern w:val="0"/>
                <w:sz w:val="22"/>
                <w:szCs w:val="22"/>
                <w:u w:val="none"/>
                <w:lang w:val="en-US" w:eastAsia="zh-CN" w:bidi="ar"/>
              </w:rPr>
              <w:t>12.</w:t>
            </w:r>
            <w:r>
              <w:rPr>
                <w:rFonts w:hint="default" w:ascii="Segoe UI" w:hAnsi="Segoe UI" w:eastAsia="Segoe UI" w:cs="Segoe UI"/>
                <w:b w:val="0"/>
                <w:bCs w:val="0"/>
                <w:i w:val="0"/>
                <w:iCs w:val="0"/>
                <w:color w:val="auto"/>
                <w:kern w:val="0"/>
                <w:sz w:val="21"/>
                <w:szCs w:val="21"/>
                <w:u w:val="none"/>
                <w:lang w:val="en-US" w:eastAsia="zh-CN" w:bidi="ar"/>
              </w:rPr>
              <w:t>肥胖症管理</w:t>
            </w:r>
          </w:p>
        </w:tc>
        <w:tc>
          <w:tcPr>
            <w:tcW w:w="2484" w:type="dxa"/>
            <w:vAlign w:val="center"/>
          </w:tcPr>
          <w:p w14:paraId="57C1E880">
            <w:pPr>
              <w:keepNext w:val="0"/>
              <w:keepLines w:val="0"/>
              <w:widowControl/>
              <w:suppressLineNumbers w:val="0"/>
              <w:jc w:val="left"/>
              <w:textAlignment w:val="center"/>
              <w:rPr>
                <w:rFonts w:hint="default" w:ascii="Times New Roman" w:hAnsi="Times New Roman" w:eastAsia="宋体" w:cs="Times New Roman"/>
                <w:bCs/>
                <w:color w:val="auto"/>
                <w:sz w:val="21"/>
                <w:szCs w:val="21"/>
                <w:lang w:val="en-US" w:eastAsia="zh-CN"/>
              </w:rPr>
            </w:pPr>
            <w:r>
              <w:rPr>
                <w:rFonts w:hint="default" w:ascii="Segoe UI" w:hAnsi="Segoe UI" w:eastAsia="Segoe UI" w:cs="Segoe UI"/>
                <w:i w:val="0"/>
                <w:iCs w:val="0"/>
                <w:color w:val="auto"/>
                <w:kern w:val="0"/>
                <w:sz w:val="21"/>
                <w:szCs w:val="21"/>
                <w:u w:val="none"/>
                <w:lang w:val="en-US" w:eastAsia="zh-CN" w:bidi="ar"/>
              </w:rPr>
              <w:t>讲授+小组讨论</w:t>
            </w:r>
          </w:p>
        </w:tc>
        <w:tc>
          <w:tcPr>
            <w:tcW w:w="1738" w:type="dxa"/>
            <w:vAlign w:val="center"/>
          </w:tcPr>
          <w:p w14:paraId="596DB92D">
            <w:pPr>
              <w:keepNext w:val="0"/>
              <w:keepLines w:val="0"/>
              <w:widowControl/>
              <w:suppressLineNumbers w:val="0"/>
              <w:jc w:val="left"/>
              <w:textAlignment w:val="center"/>
              <w:rPr>
                <w:rFonts w:hint="default" w:ascii="Times New Roman" w:hAnsi="Times New Roman" w:eastAsia="宋体" w:cs="Times New Roman"/>
                <w:b w:val="0"/>
                <w:bCs w:val="0"/>
                <w:color w:val="auto"/>
                <w:sz w:val="21"/>
                <w:szCs w:val="21"/>
                <w:lang w:val="en-US" w:eastAsia="zh-CN"/>
              </w:rPr>
            </w:pPr>
            <w:r>
              <w:rPr>
                <w:rFonts w:hint="default" w:ascii="Segoe UI" w:hAnsi="Segoe UI" w:eastAsia="Segoe UI" w:cs="Segoe UI"/>
                <w:b w:val="0"/>
                <w:bCs w:val="0"/>
                <w:i w:val="0"/>
                <w:iCs w:val="0"/>
                <w:color w:val="auto"/>
                <w:kern w:val="0"/>
                <w:sz w:val="21"/>
                <w:szCs w:val="21"/>
                <w:u w:val="none"/>
                <w:lang w:val="en-US" w:eastAsia="zh-CN" w:bidi="ar"/>
              </w:rPr>
              <w:t>案例分析</w:t>
            </w:r>
          </w:p>
        </w:tc>
        <w:tc>
          <w:tcPr>
            <w:tcW w:w="725" w:type="dxa"/>
            <w:vAlign w:val="top"/>
          </w:tcPr>
          <w:p w14:paraId="69498CF7">
            <w:pPr>
              <w:widowControl w:val="0"/>
              <w:jc w:val="both"/>
              <w:rPr>
                <w:rFonts w:hint="eastAsia"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2</w:t>
            </w:r>
          </w:p>
        </w:tc>
        <w:tc>
          <w:tcPr>
            <w:tcW w:w="669" w:type="dxa"/>
            <w:vAlign w:val="top"/>
          </w:tcPr>
          <w:p w14:paraId="3033E9D4">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0</w:t>
            </w:r>
          </w:p>
        </w:tc>
        <w:tc>
          <w:tcPr>
            <w:tcW w:w="717" w:type="dxa"/>
            <w:tcBorders>
              <w:right w:val="single" w:color="auto" w:sz="12" w:space="0"/>
            </w:tcBorders>
            <w:vAlign w:val="top"/>
          </w:tcPr>
          <w:p w14:paraId="5FDA3EC4">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3</w:t>
            </w:r>
          </w:p>
        </w:tc>
      </w:tr>
      <w:tr w14:paraId="0AA1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0BE75AB3">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cs="Times New Roman"/>
                <w:b w:val="0"/>
                <w:bCs w:val="0"/>
                <w:i w:val="0"/>
                <w:iCs w:val="0"/>
                <w:color w:val="auto"/>
                <w:kern w:val="0"/>
                <w:sz w:val="22"/>
                <w:szCs w:val="22"/>
                <w:u w:val="none"/>
                <w:lang w:val="en-US" w:eastAsia="zh-CN" w:bidi="ar"/>
              </w:rPr>
              <w:t>13.</w:t>
            </w:r>
            <w:r>
              <w:rPr>
                <w:rFonts w:hint="default" w:ascii="Segoe UI" w:hAnsi="Segoe UI" w:eastAsia="Segoe UI" w:cs="Segoe UI"/>
                <w:b w:val="0"/>
                <w:bCs w:val="0"/>
                <w:i w:val="0"/>
                <w:iCs w:val="0"/>
                <w:color w:val="auto"/>
                <w:kern w:val="0"/>
                <w:sz w:val="21"/>
                <w:szCs w:val="21"/>
                <w:u w:val="none"/>
                <w:lang w:val="en-US" w:eastAsia="zh-CN" w:bidi="ar"/>
              </w:rPr>
              <w:t>慢性阻塞性肺疾病（COPD）管理</w:t>
            </w:r>
          </w:p>
        </w:tc>
        <w:tc>
          <w:tcPr>
            <w:tcW w:w="2484" w:type="dxa"/>
            <w:vAlign w:val="center"/>
          </w:tcPr>
          <w:p w14:paraId="076885C9">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Segoe UI" w:hAnsi="Segoe UI" w:eastAsia="Segoe UI" w:cs="Segoe UI"/>
                <w:i w:val="0"/>
                <w:iCs w:val="0"/>
                <w:color w:val="auto"/>
                <w:kern w:val="0"/>
                <w:sz w:val="21"/>
                <w:szCs w:val="21"/>
                <w:u w:val="none"/>
                <w:lang w:val="en-US" w:eastAsia="zh-CN" w:bidi="ar"/>
              </w:rPr>
              <w:t>案例分析+实践操作</w:t>
            </w:r>
          </w:p>
        </w:tc>
        <w:tc>
          <w:tcPr>
            <w:tcW w:w="1738" w:type="dxa"/>
            <w:vAlign w:val="center"/>
          </w:tcPr>
          <w:p w14:paraId="14FCD77F">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Segoe UI" w:hAnsi="Segoe UI" w:eastAsia="Segoe UI" w:cs="Segoe UI"/>
                <w:b w:val="0"/>
                <w:bCs w:val="0"/>
                <w:i w:val="0"/>
                <w:iCs w:val="0"/>
                <w:color w:val="auto"/>
                <w:kern w:val="0"/>
                <w:sz w:val="21"/>
                <w:szCs w:val="21"/>
                <w:u w:val="none"/>
                <w:lang w:val="en-US" w:eastAsia="zh-CN" w:bidi="ar"/>
              </w:rPr>
              <w:t>案例分析</w:t>
            </w:r>
          </w:p>
        </w:tc>
        <w:tc>
          <w:tcPr>
            <w:tcW w:w="725" w:type="dxa"/>
            <w:vAlign w:val="top"/>
          </w:tcPr>
          <w:p w14:paraId="6D3C61AF">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669" w:type="dxa"/>
            <w:vAlign w:val="top"/>
          </w:tcPr>
          <w:p w14:paraId="7D03F7FD">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w:t>
            </w:r>
          </w:p>
        </w:tc>
        <w:tc>
          <w:tcPr>
            <w:tcW w:w="717" w:type="dxa"/>
            <w:tcBorders>
              <w:right w:val="single" w:color="auto" w:sz="12" w:space="0"/>
            </w:tcBorders>
            <w:vAlign w:val="top"/>
          </w:tcPr>
          <w:p w14:paraId="0DDBC3C0">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w:t>
            </w:r>
          </w:p>
        </w:tc>
      </w:tr>
      <w:tr w14:paraId="6FC7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55C0B6D1">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cs="Times New Roman"/>
                <w:b w:val="0"/>
                <w:bCs w:val="0"/>
                <w:i w:val="0"/>
                <w:iCs w:val="0"/>
                <w:color w:val="auto"/>
                <w:kern w:val="0"/>
                <w:sz w:val="22"/>
                <w:szCs w:val="22"/>
                <w:u w:val="none"/>
                <w:lang w:val="en-US" w:eastAsia="zh-CN" w:bidi="ar"/>
              </w:rPr>
              <w:t>14.</w:t>
            </w:r>
            <w:r>
              <w:rPr>
                <w:rFonts w:hint="default" w:ascii="Segoe UI" w:hAnsi="Segoe UI" w:eastAsia="Segoe UI" w:cs="Segoe UI"/>
                <w:b w:val="0"/>
                <w:bCs w:val="0"/>
                <w:i w:val="0"/>
                <w:iCs w:val="0"/>
                <w:color w:val="auto"/>
                <w:kern w:val="0"/>
                <w:sz w:val="21"/>
                <w:szCs w:val="21"/>
                <w:u w:val="none"/>
                <w:lang w:val="en-US" w:eastAsia="zh-CN" w:bidi="ar"/>
              </w:rPr>
              <w:t>慢性肾脏病管理</w:t>
            </w:r>
          </w:p>
        </w:tc>
        <w:tc>
          <w:tcPr>
            <w:tcW w:w="2484" w:type="dxa"/>
            <w:vAlign w:val="center"/>
          </w:tcPr>
          <w:p w14:paraId="7489D783">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Segoe UI" w:hAnsi="Segoe UI" w:eastAsia="Segoe UI" w:cs="Segoe UI"/>
                <w:i w:val="0"/>
                <w:iCs w:val="0"/>
                <w:color w:val="auto"/>
                <w:kern w:val="0"/>
                <w:sz w:val="21"/>
                <w:szCs w:val="21"/>
                <w:u w:val="none"/>
                <w:lang w:val="en-US" w:eastAsia="zh-CN" w:bidi="ar"/>
              </w:rPr>
              <w:t>讲授+角色扮演</w:t>
            </w:r>
          </w:p>
        </w:tc>
        <w:tc>
          <w:tcPr>
            <w:tcW w:w="1738" w:type="dxa"/>
            <w:vAlign w:val="center"/>
          </w:tcPr>
          <w:p w14:paraId="39B6B5D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Segoe UI" w:hAnsi="Segoe UI" w:eastAsia="Segoe UI" w:cs="Segoe UI"/>
                <w:b w:val="0"/>
                <w:bCs w:val="0"/>
                <w:i w:val="0"/>
                <w:iCs w:val="0"/>
                <w:color w:val="auto"/>
                <w:kern w:val="0"/>
                <w:sz w:val="21"/>
                <w:szCs w:val="21"/>
                <w:u w:val="none"/>
                <w:lang w:val="en-US" w:eastAsia="zh-CN" w:bidi="ar"/>
              </w:rPr>
              <w:t>案例分析</w:t>
            </w:r>
          </w:p>
        </w:tc>
        <w:tc>
          <w:tcPr>
            <w:tcW w:w="725" w:type="dxa"/>
            <w:vAlign w:val="top"/>
          </w:tcPr>
          <w:p w14:paraId="200FECA6">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669" w:type="dxa"/>
            <w:vAlign w:val="top"/>
          </w:tcPr>
          <w:p w14:paraId="6DC58086">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w:t>
            </w:r>
          </w:p>
        </w:tc>
        <w:tc>
          <w:tcPr>
            <w:tcW w:w="717" w:type="dxa"/>
            <w:tcBorders>
              <w:right w:val="single" w:color="auto" w:sz="12" w:space="0"/>
            </w:tcBorders>
            <w:vAlign w:val="top"/>
          </w:tcPr>
          <w:p w14:paraId="12ED4159">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r>
      <w:tr w14:paraId="3BE9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07765EA1">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cs="Times New Roman"/>
                <w:b w:val="0"/>
                <w:bCs w:val="0"/>
                <w:i w:val="0"/>
                <w:iCs w:val="0"/>
                <w:color w:val="auto"/>
                <w:kern w:val="0"/>
                <w:sz w:val="22"/>
                <w:szCs w:val="22"/>
                <w:u w:val="none"/>
                <w:lang w:val="en-US" w:eastAsia="zh-CN" w:bidi="ar"/>
              </w:rPr>
              <w:t>15.</w:t>
            </w:r>
            <w:r>
              <w:rPr>
                <w:rFonts w:hint="default" w:ascii="Segoe UI" w:hAnsi="Segoe UI" w:eastAsia="Segoe UI" w:cs="Segoe UI"/>
                <w:b w:val="0"/>
                <w:bCs w:val="0"/>
                <w:i w:val="0"/>
                <w:iCs w:val="0"/>
                <w:color w:val="auto"/>
                <w:kern w:val="0"/>
                <w:sz w:val="21"/>
                <w:szCs w:val="21"/>
                <w:u w:val="none"/>
                <w:lang w:val="en-US" w:eastAsia="zh-CN" w:bidi="ar"/>
              </w:rPr>
              <w:t>膝骨关节炎管理</w:t>
            </w:r>
          </w:p>
        </w:tc>
        <w:tc>
          <w:tcPr>
            <w:tcW w:w="2484" w:type="dxa"/>
            <w:vAlign w:val="center"/>
          </w:tcPr>
          <w:p w14:paraId="6584743D">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Segoe UI" w:hAnsi="Segoe UI" w:eastAsia="Segoe UI" w:cs="Segoe UI"/>
                <w:i w:val="0"/>
                <w:iCs w:val="0"/>
                <w:color w:val="auto"/>
                <w:kern w:val="0"/>
                <w:sz w:val="21"/>
                <w:szCs w:val="21"/>
                <w:u w:val="none"/>
                <w:lang w:val="en-US" w:eastAsia="zh-CN" w:bidi="ar"/>
              </w:rPr>
              <w:t>案例分析+模拟操作</w:t>
            </w:r>
          </w:p>
        </w:tc>
        <w:tc>
          <w:tcPr>
            <w:tcW w:w="1738" w:type="dxa"/>
            <w:vAlign w:val="center"/>
          </w:tcPr>
          <w:p w14:paraId="14483C1D">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Segoe UI" w:hAnsi="Segoe UI" w:eastAsia="Segoe UI" w:cs="Segoe UI"/>
                <w:b w:val="0"/>
                <w:bCs w:val="0"/>
                <w:i w:val="0"/>
                <w:iCs w:val="0"/>
                <w:color w:val="auto"/>
                <w:kern w:val="0"/>
                <w:sz w:val="21"/>
                <w:szCs w:val="21"/>
                <w:u w:val="none"/>
                <w:lang w:val="en-US" w:eastAsia="zh-CN" w:bidi="ar"/>
              </w:rPr>
              <w:t>案例分析</w:t>
            </w:r>
          </w:p>
        </w:tc>
        <w:tc>
          <w:tcPr>
            <w:tcW w:w="725" w:type="dxa"/>
            <w:vAlign w:val="top"/>
          </w:tcPr>
          <w:p w14:paraId="26A32427">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669" w:type="dxa"/>
            <w:vAlign w:val="top"/>
          </w:tcPr>
          <w:p w14:paraId="27D36A19">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w:t>
            </w:r>
          </w:p>
        </w:tc>
        <w:tc>
          <w:tcPr>
            <w:tcW w:w="717" w:type="dxa"/>
            <w:tcBorders>
              <w:right w:val="single" w:color="auto" w:sz="12" w:space="0"/>
            </w:tcBorders>
            <w:vAlign w:val="top"/>
          </w:tcPr>
          <w:p w14:paraId="616151AD">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r>
      <w:tr w14:paraId="5DB1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32A1C440">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cs="Times New Roman"/>
                <w:b w:val="0"/>
                <w:bCs w:val="0"/>
                <w:i w:val="0"/>
                <w:iCs w:val="0"/>
                <w:color w:val="auto"/>
                <w:kern w:val="0"/>
                <w:sz w:val="22"/>
                <w:szCs w:val="22"/>
                <w:u w:val="none"/>
                <w:lang w:val="en-US" w:eastAsia="zh-CN" w:bidi="ar"/>
              </w:rPr>
              <w:t>16.</w:t>
            </w:r>
            <w:r>
              <w:rPr>
                <w:rFonts w:hint="default" w:ascii="Segoe UI" w:hAnsi="Segoe UI" w:eastAsia="Segoe UI" w:cs="Segoe UI"/>
                <w:b w:val="0"/>
                <w:bCs w:val="0"/>
                <w:i w:val="0"/>
                <w:iCs w:val="0"/>
                <w:color w:val="auto"/>
                <w:kern w:val="0"/>
                <w:sz w:val="21"/>
                <w:szCs w:val="21"/>
                <w:u w:val="none"/>
                <w:lang w:val="en-US" w:eastAsia="zh-CN" w:bidi="ar"/>
              </w:rPr>
              <w:t>安宁疗护</w:t>
            </w:r>
          </w:p>
        </w:tc>
        <w:tc>
          <w:tcPr>
            <w:tcW w:w="2484" w:type="dxa"/>
            <w:vAlign w:val="center"/>
          </w:tcPr>
          <w:p w14:paraId="39E23736">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Segoe UI" w:hAnsi="Segoe UI" w:eastAsia="Segoe UI" w:cs="Segoe UI"/>
                <w:i w:val="0"/>
                <w:iCs w:val="0"/>
                <w:color w:val="auto"/>
                <w:kern w:val="0"/>
                <w:sz w:val="21"/>
                <w:szCs w:val="21"/>
                <w:u w:val="none"/>
                <w:lang w:val="en-US" w:eastAsia="zh-CN" w:bidi="ar"/>
              </w:rPr>
              <w:t>讲授+文献研讨</w:t>
            </w:r>
          </w:p>
        </w:tc>
        <w:tc>
          <w:tcPr>
            <w:tcW w:w="1738" w:type="dxa"/>
            <w:vAlign w:val="center"/>
          </w:tcPr>
          <w:p w14:paraId="5D55A79B">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理论考试</w:t>
            </w:r>
          </w:p>
        </w:tc>
        <w:tc>
          <w:tcPr>
            <w:tcW w:w="725" w:type="dxa"/>
            <w:vAlign w:val="top"/>
          </w:tcPr>
          <w:p w14:paraId="07578542">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c>
          <w:tcPr>
            <w:tcW w:w="669" w:type="dxa"/>
            <w:vAlign w:val="top"/>
          </w:tcPr>
          <w:p w14:paraId="3BB44BEC">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w:t>
            </w:r>
          </w:p>
        </w:tc>
        <w:tc>
          <w:tcPr>
            <w:tcW w:w="717" w:type="dxa"/>
            <w:tcBorders>
              <w:right w:val="single" w:color="auto" w:sz="12" w:space="0"/>
            </w:tcBorders>
            <w:vAlign w:val="top"/>
          </w:tcPr>
          <w:p w14:paraId="11C1CE6B">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r>
      <w:tr w14:paraId="452A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43" w:type="dxa"/>
            <w:tcBorders>
              <w:left w:val="single" w:color="auto" w:sz="12" w:space="0"/>
            </w:tcBorders>
            <w:vAlign w:val="center"/>
          </w:tcPr>
          <w:p w14:paraId="2ABB0F1E">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cs="Times New Roman"/>
                <w:b w:val="0"/>
                <w:bCs w:val="0"/>
                <w:i w:val="0"/>
                <w:iCs w:val="0"/>
                <w:color w:val="auto"/>
                <w:kern w:val="0"/>
                <w:sz w:val="22"/>
                <w:szCs w:val="22"/>
                <w:u w:val="none"/>
                <w:lang w:val="en-US" w:eastAsia="zh-CN" w:bidi="ar"/>
              </w:rPr>
              <w:t>17.随堂测验</w:t>
            </w:r>
          </w:p>
        </w:tc>
        <w:tc>
          <w:tcPr>
            <w:tcW w:w="2484" w:type="dxa"/>
            <w:vAlign w:val="center"/>
          </w:tcPr>
          <w:p w14:paraId="0E0AD898">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Segoe UI" w:hAnsi="Segoe UI" w:eastAsia="Segoe UI" w:cs="Segoe UI"/>
                <w:i w:val="0"/>
                <w:iCs w:val="0"/>
                <w:color w:val="auto"/>
                <w:kern w:val="0"/>
                <w:sz w:val="21"/>
                <w:szCs w:val="21"/>
                <w:u w:val="none"/>
                <w:lang w:val="en-US" w:eastAsia="zh-CN" w:bidi="ar"/>
              </w:rPr>
              <w:t>讲授+案例分析</w:t>
            </w:r>
          </w:p>
        </w:tc>
        <w:tc>
          <w:tcPr>
            <w:tcW w:w="1738" w:type="dxa"/>
            <w:vAlign w:val="center"/>
          </w:tcPr>
          <w:p w14:paraId="53B2D500">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理论考试</w:t>
            </w:r>
          </w:p>
        </w:tc>
        <w:tc>
          <w:tcPr>
            <w:tcW w:w="725" w:type="dxa"/>
            <w:vAlign w:val="top"/>
          </w:tcPr>
          <w:p w14:paraId="53C720E5">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0</w:t>
            </w:r>
          </w:p>
        </w:tc>
        <w:tc>
          <w:tcPr>
            <w:tcW w:w="669" w:type="dxa"/>
            <w:vAlign w:val="top"/>
          </w:tcPr>
          <w:p w14:paraId="30692DFB">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717" w:type="dxa"/>
            <w:tcBorders>
              <w:right w:val="single" w:color="auto" w:sz="12" w:space="0"/>
            </w:tcBorders>
            <w:vAlign w:val="top"/>
          </w:tcPr>
          <w:p w14:paraId="535F3943">
            <w:pPr>
              <w:widowControl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r>
      <w:tr w14:paraId="3727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top"/>
          </w:tcPr>
          <w:p w14:paraId="28D0E405">
            <w:pPr>
              <w:pStyle w:val="15"/>
              <w:widowControl w:val="0"/>
              <w:rPr>
                <w:rFonts w:hint="default" w:ascii="Times New Roman" w:hAnsi="Times New Roman" w:eastAsia="宋体" w:cs="Times New Roman"/>
                <w:color w:val="auto"/>
                <w:sz w:val="21"/>
                <w:szCs w:val="21"/>
                <w:lang w:val="en-US" w:eastAsia="zh-CN" w:bidi="ar-SA"/>
              </w:rPr>
            </w:pPr>
          </w:p>
        </w:tc>
        <w:tc>
          <w:tcPr>
            <w:tcW w:w="725" w:type="dxa"/>
            <w:tcBorders>
              <w:bottom w:val="single" w:color="auto" w:sz="12" w:space="0"/>
            </w:tcBorders>
            <w:vAlign w:val="top"/>
          </w:tcPr>
          <w:p w14:paraId="2507DACE">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24</w:t>
            </w:r>
          </w:p>
        </w:tc>
        <w:tc>
          <w:tcPr>
            <w:tcW w:w="669" w:type="dxa"/>
            <w:tcBorders>
              <w:bottom w:val="single" w:color="auto" w:sz="12" w:space="0"/>
            </w:tcBorders>
            <w:vAlign w:val="top"/>
          </w:tcPr>
          <w:p w14:paraId="4387416A">
            <w:pPr>
              <w:widowControl w:val="0"/>
              <w:jc w:val="both"/>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color w:val="auto"/>
                <w:lang w:val="en-US" w:eastAsia="zh-CN"/>
              </w:rPr>
              <w:t>8</w:t>
            </w:r>
          </w:p>
        </w:tc>
        <w:tc>
          <w:tcPr>
            <w:tcW w:w="717" w:type="dxa"/>
            <w:tcBorders>
              <w:bottom w:val="single" w:color="auto" w:sz="12" w:space="0"/>
              <w:right w:val="single" w:color="auto" w:sz="12" w:space="0"/>
            </w:tcBorders>
            <w:vAlign w:val="top"/>
          </w:tcPr>
          <w:p w14:paraId="37718203">
            <w:pPr>
              <w:widowControl w:val="0"/>
              <w:jc w:val="both"/>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color w:val="auto"/>
              </w:rPr>
              <w:t>32</w:t>
            </w:r>
          </w:p>
        </w:tc>
      </w:tr>
    </w:tbl>
    <w:p w14:paraId="5A876E34">
      <w:pPr>
        <w:pStyle w:val="18"/>
        <w:numPr>
          <w:ilvl w:val="0"/>
          <w:numId w:val="1"/>
        </w:numPr>
        <w:spacing w:before="326" w:beforeLines="100" w:after="163"/>
        <w:rPr>
          <w:rFonts w:hint="default" w:ascii="Times New Roman" w:hAnsi="Times New Roman" w:cs="Times New Roman"/>
        </w:rPr>
      </w:pPr>
      <w:r>
        <w:rPr>
          <w:rFonts w:hint="default" w:ascii="Times New Roman" w:hAnsi="Times New Roman" w:cs="Times New Roman"/>
        </w:rPr>
        <w:t>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2F9C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FA58A13">
            <w:pPr>
              <w:pStyle w:val="14"/>
              <w:rPr>
                <w:rFonts w:hint="default" w:ascii="Times New Roman" w:hAnsi="Times New Roman" w:cs="Times New Roman"/>
                <w:szCs w:val="16"/>
              </w:rPr>
            </w:pPr>
            <w:r>
              <w:rPr>
                <w:rFonts w:hint="default" w:ascii="Times New Roman" w:hAnsi="Times New Roman" w:cs="Times New Roman"/>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2A33D083">
            <w:pPr>
              <w:pStyle w:val="14"/>
              <w:rPr>
                <w:rFonts w:hint="default" w:ascii="Times New Roman" w:hAnsi="Times New Roman" w:cs="Times New Roman"/>
                <w:szCs w:val="16"/>
              </w:rPr>
            </w:pPr>
            <w:r>
              <w:rPr>
                <w:rFonts w:hint="default" w:ascii="Times New Roman" w:hAnsi="Times New Roman" w:cs="Times New Roman"/>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0C47107F">
            <w:pPr>
              <w:pStyle w:val="14"/>
              <w:rPr>
                <w:rFonts w:hint="default" w:ascii="Times New Roman" w:hAnsi="Times New Roman" w:cs="Times New Roman"/>
                <w:szCs w:val="16"/>
              </w:rPr>
            </w:pPr>
            <w:r>
              <w:rPr>
                <w:rFonts w:hint="default" w:ascii="Times New Roman" w:hAnsi="Times New Roman" w:cs="Times New Roman"/>
                <w:szCs w:val="16"/>
              </w:rPr>
              <w:t>目标要求与主要内容</w:t>
            </w:r>
          </w:p>
        </w:tc>
        <w:tc>
          <w:tcPr>
            <w:tcW w:w="862" w:type="dxa"/>
            <w:tcBorders>
              <w:top w:val="single" w:color="auto" w:sz="12" w:space="0"/>
              <w:left w:val="single" w:color="auto" w:sz="4" w:space="0"/>
              <w:right w:val="single" w:color="auto" w:sz="4" w:space="0"/>
            </w:tcBorders>
            <w:shd w:val="clear" w:color="auto" w:fill="auto"/>
            <w:vAlign w:val="center"/>
          </w:tcPr>
          <w:p w14:paraId="266C7444">
            <w:pPr>
              <w:pStyle w:val="14"/>
              <w:rPr>
                <w:rFonts w:hint="default" w:ascii="Times New Roman" w:hAnsi="Times New Roman" w:cs="Times New Roman"/>
                <w:szCs w:val="16"/>
              </w:rPr>
            </w:pPr>
            <w:r>
              <w:rPr>
                <w:rFonts w:hint="default" w:ascii="Times New Roman" w:hAnsi="Times New Roman" w:cs="Times New Roman"/>
                <w:szCs w:val="16"/>
              </w:rPr>
              <w:t>实验</w:t>
            </w:r>
          </w:p>
          <w:p w14:paraId="146042D7">
            <w:pPr>
              <w:pStyle w:val="14"/>
              <w:rPr>
                <w:rFonts w:hint="default" w:ascii="Times New Roman" w:hAnsi="Times New Roman" w:cs="Times New Roman"/>
                <w:szCs w:val="16"/>
              </w:rPr>
            </w:pPr>
            <w:r>
              <w:rPr>
                <w:rFonts w:hint="default" w:ascii="Times New Roman" w:hAnsi="Times New Roman" w:cs="Times New Roman"/>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E855788">
            <w:pPr>
              <w:pStyle w:val="14"/>
              <w:rPr>
                <w:rFonts w:hint="default" w:ascii="Times New Roman" w:hAnsi="Times New Roman" w:cs="Times New Roman"/>
                <w:szCs w:val="16"/>
              </w:rPr>
            </w:pPr>
            <w:r>
              <w:rPr>
                <w:rFonts w:hint="default" w:ascii="Times New Roman" w:hAnsi="Times New Roman" w:cs="Times New Roman"/>
                <w:szCs w:val="16"/>
              </w:rPr>
              <w:t>实验</w:t>
            </w:r>
          </w:p>
          <w:p w14:paraId="3FBA9C06">
            <w:pPr>
              <w:pStyle w:val="14"/>
              <w:rPr>
                <w:rFonts w:hint="default" w:ascii="Times New Roman" w:hAnsi="Times New Roman" w:cs="Times New Roman"/>
                <w:szCs w:val="16"/>
              </w:rPr>
            </w:pPr>
            <w:r>
              <w:rPr>
                <w:rFonts w:hint="default" w:ascii="Times New Roman" w:hAnsi="Times New Roman" w:cs="Times New Roman"/>
                <w:szCs w:val="16"/>
              </w:rPr>
              <w:t>类型</w:t>
            </w:r>
          </w:p>
        </w:tc>
      </w:tr>
      <w:tr w14:paraId="70D18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1E49F61">
            <w:pPr>
              <w:jc w:val="center"/>
              <w:rPr>
                <w:rFonts w:hint="default" w:ascii="Times New Roman" w:hAnsi="Times New Roman" w:eastAsia="宋体" w:cs="宋体"/>
                <w:color w:val="000000"/>
                <w:sz w:val="20"/>
                <w:szCs w:val="20"/>
                <w:lang w:val="en-US" w:eastAsia="zh-CN" w:bidi="ar-SA"/>
              </w:rPr>
            </w:pPr>
            <w:r>
              <w:rPr>
                <w:rFonts w:hint="default"/>
                <w:sz w:val="22"/>
                <w:szCs w:val="22"/>
                <w:lang w:val="en-US" w:eastAsia="zh-CN"/>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FFFA572">
            <w:pPr>
              <w:rPr>
                <w:rFonts w:hint="default" w:ascii="Times New Roman" w:hAnsi="Times New Roman" w:eastAsia="宋体" w:cs="Times New Roman"/>
                <w:sz w:val="22"/>
                <w:szCs w:val="22"/>
                <w:lang w:val="en-US" w:eastAsia="zh-CN" w:bidi="ar-SA"/>
              </w:rPr>
            </w:pPr>
            <w:r>
              <w:rPr>
                <w:rFonts w:hint="default"/>
                <w:sz w:val="22"/>
                <w:szCs w:val="22"/>
                <w:lang w:val="en-US" w:eastAsia="zh-CN"/>
              </w:rPr>
              <w:t>慢性病案例分析与报告</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4FFFF839">
            <w:pPr>
              <w:rPr>
                <w:rFonts w:hint="default" w:ascii="Times New Roman" w:hAnsi="Times New Roman" w:eastAsia="宋体" w:cs="Times New Roman"/>
                <w:color w:val="000000"/>
                <w:sz w:val="20"/>
                <w:szCs w:val="20"/>
                <w:lang w:val="en-US" w:eastAsia="zh-CN" w:bidi="ar-SA"/>
              </w:rPr>
            </w:pPr>
            <w:r>
              <w:rPr>
                <w:rFonts w:hint="default"/>
                <w:sz w:val="22"/>
                <w:szCs w:val="22"/>
                <w:lang w:val="en-US" w:eastAsia="zh-CN"/>
              </w:rPr>
              <w:t>选择常见慢性病（如高血压、糖尿病、冠心病等），根据病历进行分析，识别病因、危害及防控措施，撰写报告总结。</w:t>
            </w:r>
          </w:p>
        </w:tc>
        <w:tc>
          <w:tcPr>
            <w:tcW w:w="862" w:type="dxa"/>
            <w:tcBorders>
              <w:left w:val="single" w:color="auto" w:sz="4" w:space="0"/>
              <w:right w:val="single" w:color="auto" w:sz="4" w:space="0"/>
            </w:tcBorders>
            <w:shd w:val="clear" w:color="auto" w:fill="auto"/>
            <w:vAlign w:val="center"/>
          </w:tcPr>
          <w:p w14:paraId="40E6909A">
            <w:pPr>
              <w:jc w:val="center"/>
              <w:rPr>
                <w:rFonts w:hint="eastAsia" w:ascii="Times New Roman" w:hAnsi="Times New Roman" w:eastAsia="宋体" w:cs="Times New Roman"/>
                <w:sz w:val="20"/>
                <w:szCs w:val="20"/>
                <w:lang w:val="en-US" w:eastAsia="zh-CN" w:bidi="ar-SA"/>
              </w:rPr>
            </w:pPr>
            <w:r>
              <w:rPr>
                <w:rFonts w:hint="default"/>
                <w:sz w:val="22"/>
                <w:szCs w:val="22"/>
                <w:lang w:val="en-US" w:eastAsia="zh-CN"/>
              </w:rPr>
              <w:t>2</w:t>
            </w:r>
          </w:p>
        </w:tc>
        <w:tc>
          <w:tcPr>
            <w:tcW w:w="950" w:type="dxa"/>
            <w:tcBorders>
              <w:left w:val="single" w:color="auto" w:sz="4" w:space="0"/>
              <w:right w:val="single" w:color="auto" w:sz="12" w:space="0"/>
            </w:tcBorders>
            <w:shd w:val="clear" w:color="auto" w:fill="auto"/>
            <w:vAlign w:val="center"/>
          </w:tcPr>
          <w:p w14:paraId="153E60F8">
            <w:pPr>
              <w:rPr>
                <w:rFonts w:hint="default" w:ascii="Times New Roman" w:hAnsi="Times New Roman" w:eastAsia="宋体" w:cs="Times New Roman"/>
                <w:sz w:val="20"/>
                <w:szCs w:val="20"/>
                <w:lang w:val="en-US" w:eastAsia="zh-CN" w:bidi="ar-SA"/>
              </w:rPr>
            </w:pPr>
            <w:r>
              <w:rPr>
                <w:rFonts w:hint="default"/>
                <w:sz w:val="22"/>
                <w:szCs w:val="22"/>
                <w:lang w:val="en-US" w:eastAsia="zh-CN"/>
              </w:rPr>
              <w:t>综合型</w:t>
            </w:r>
          </w:p>
        </w:tc>
      </w:tr>
      <w:tr w14:paraId="2285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6E8D88C">
            <w:pPr>
              <w:jc w:val="center"/>
              <w:rPr>
                <w:rFonts w:hint="default" w:ascii="Times New Roman" w:hAnsi="Times New Roman" w:eastAsia="宋体" w:cs="宋体"/>
                <w:color w:val="000000"/>
                <w:sz w:val="20"/>
                <w:szCs w:val="20"/>
                <w:lang w:val="en-US" w:eastAsia="zh-CN" w:bidi="ar-SA"/>
              </w:rPr>
            </w:pPr>
            <w:r>
              <w:rPr>
                <w:rFonts w:hint="default"/>
                <w:sz w:val="22"/>
                <w:szCs w:val="22"/>
                <w:lang w:val="en-US" w:eastAsia="zh-CN"/>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2E82DC4">
            <w:pPr>
              <w:rPr>
                <w:rFonts w:hint="default" w:ascii="Times New Roman" w:hAnsi="Times New Roman" w:eastAsia="宋体" w:cs="Times New Roman"/>
                <w:sz w:val="22"/>
                <w:szCs w:val="22"/>
                <w:lang w:val="en-US" w:eastAsia="zh-CN" w:bidi="ar-SA"/>
              </w:rPr>
            </w:pPr>
            <w:r>
              <w:rPr>
                <w:rFonts w:hint="default"/>
                <w:sz w:val="22"/>
                <w:szCs w:val="22"/>
                <w:lang w:val="en-US" w:eastAsia="zh-CN"/>
              </w:rPr>
              <w:t>健康管理方案设计与实施</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1CE9668E">
            <w:pPr>
              <w:rPr>
                <w:rFonts w:hint="default" w:ascii="Times New Roman" w:hAnsi="Times New Roman" w:eastAsia="宋体" w:cs="Times New Roman"/>
                <w:color w:val="000000"/>
                <w:sz w:val="20"/>
                <w:szCs w:val="20"/>
                <w:lang w:val="en-US" w:eastAsia="zh-CN" w:bidi="ar-SA"/>
              </w:rPr>
            </w:pPr>
            <w:r>
              <w:rPr>
                <w:rFonts w:hint="default"/>
                <w:sz w:val="22"/>
                <w:szCs w:val="22"/>
                <w:lang w:val="en-US" w:eastAsia="zh-CN"/>
              </w:rPr>
              <w:t>根据所学知识，设计并实施一份适用于社区的慢性病健康管理方案，具体涉及慢性病人群的评估、干预策略、随访管理等。</w:t>
            </w:r>
          </w:p>
        </w:tc>
        <w:tc>
          <w:tcPr>
            <w:tcW w:w="862" w:type="dxa"/>
            <w:tcBorders>
              <w:left w:val="single" w:color="auto" w:sz="4" w:space="0"/>
              <w:bottom w:val="single" w:color="auto" w:sz="4" w:space="0"/>
              <w:right w:val="single" w:color="auto" w:sz="4" w:space="0"/>
            </w:tcBorders>
            <w:shd w:val="clear" w:color="auto" w:fill="auto"/>
            <w:vAlign w:val="center"/>
          </w:tcPr>
          <w:p w14:paraId="71180BBB">
            <w:pPr>
              <w:jc w:val="center"/>
              <w:rPr>
                <w:rFonts w:hint="default" w:ascii="Times New Roman" w:hAnsi="Times New Roman" w:eastAsia="宋体" w:cs="Times New Roman"/>
                <w:color w:val="000000"/>
                <w:sz w:val="20"/>
                <w:szCs w:val="20"/>
                <w:lang w:val="en-US" w:eastAsia="zh-CN" w:bidi="ar-SA"/>
              </w:rPr>
            </w:pPr>
            <w:r>
              <w:rPr>
                <w:rFonts w:hint="eastAsia"/>
                <w:sz w:val="22"/>
                <w:szCs w:val="22"/>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294E9D2E">
            <w:pPr>
              <w:rPr>
                <w:rFonts w:hint="default" w:ascii="Times New Roman" w:hAnsi="Times New Roman" w:eastAsia="宋体" w:cs="Times New Roman"/>
                <w:color w:val="000000"/>
                <w:sz w:val="20"/>
                <w:szCs w:val="20"/>
                <w:lang w:val="en-US" w:eastAsia="zh-CN" w:bidi="ar-SA"/>
              </w:rPr>
            </w:pPr>
            <w:r>
              <w:rPr>
                <w:rFonts w:hint="default"/>
                <w:sz w:val="22"/>
                <w:szCs w:val="22"/>
                <w:lang w:val="en-US" w:eastAsia="zh-CN"/>
              </w:rPr>
              <w:t>综合型</w:t>
            </w:r>
          </w:p>
        </w:tc>
      </w:tr>
      <w:tr w14:paraId="2DA1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156B76A">
            <w:pPr>
              <w:jc w:val="center"/>
              <w:rPr>
                <w:rFonts w:hint="default" w:ascii="Times New Roman" w:hAnsi="Times New Roman" w:eastAsia="宋体" w:cs="宋体"/>
                <w:color w:val="000000"/>
                <w:sz w:val="20"/>
                <w:szCs w:val="20"/>
                <w:lang w:val="en-US" w:eastAsia="zh-CN" w:bidi="ar-SA"/>
              </w:rPr>
            </w:pPr>
            <w:r>
              <w:rPr>
                <w:rFonts w:hint="default"/>
                <w:sz w:val="22"/>
                <w:szCs w:val="22"/>
                <w:lang w:val="en-US" w:eastAsia="zh-CN"/>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E81C2FF">
            <w:pPr>
              <w:rPr>
                <w:rFonts w:hint="default" w:ascii="Times New Roman" w:hAnsi="Times New Roman" w:eastAsia="宋体" w:cs="Times New Roman"/>
                <w:sz w:val="22"/>
                <w:szCs w:val="22"/>
                <w:lang w:val="en-US" w:eastAsia="zh-CN" w:bidi="ar-SA"/>
              </w:rPr>
            </w:pPr>
            <w:r>
              <w:rPr>
                <w:rFonts w:hint="default"/>
                <w:sz w:val="22"/>
                <w:szCs w:val="22"/>
                <w:lang w:val="en-US" w:eastAsia="zh-CN"/>
              </w:rPr>
              <w:t>健康教育实施演练</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6DEDDC46">
            <w:pPr>
              <w:rPr>
                <w:rFonts w:hint="default" w:ascii="Times New Roman" w:hAnsi="Times New Roman" w:eastAsia="宋体" w:cs="Times New Roman"/>
                <w:color w:val="000000"/>
                <w:sz w:val="20"/>
                <w:szCs w:val="20"/>
                <w:lang w:val="en-US" w:eastAsia="zh-CN" w:bidi="ar-SA"/>
              </w:rPr>
            </w:pPr>
            <w:r>
              <w:rPr>
                <w:rFonts w:hint="default"/>
                <w:sz w:val="22"/>
                <w:szCs w:val="22"/>
                <w:lang w:val="en-US" w:eastAsia="zh-CN"/>
              </w:rPr>
              <w:t>小组讨论并设计一份健康教育方案，针对特定慢性病进行社区健康教育的实施演练（例如高血压、糖尿病健康教育等），并进行小组汇报。</w:t>
            </w:r>
          </w:p>
        </w:tc>
        <w:tc>
          <w:tcPr>
            <w:tcW w:w="862" w:type="dxa"/>
            <w:tcBorders>
              <w:left w:val="single" w:color="auto" w:sz="4" w:space="0"/>
              <w:right w:val="single" w:color="auto" w:sz="4" w:space="0"/>
            </w:tcBorders>
            <w:shd w:val="clear" w:color="auto" w:fill="auto"/>
            <w:vAlign w:val="center"/>
          </w:tcPr>
          <w:p w14:paraId="077D4B80">
            <w:pPr>
              <w:jc w:val="center"/>
              <w:rPr>
                <w:rFonts w:hint="eastAsia" w:ascii="Times New Roman" w:hAnsi="Times New Roman" w:eastAsia="宋体" w:cs="Times New Roman"/>
                <w:sz w:val="20"/>
                <w:szCs w:val="20"/>
                <w:lang w:val="en-US" w:eastAsia="zh-CN" w:bidi="ar-SA"/>
              </w:rPr>
            </w:pPr>
            <w:r>
              <w:rPr>
                <w:rFonts w:hint="default"/>
                <w:sz w:val="22"/>
                <w:szCs w:val="22"/>
                <w:lang w:val="en-US" w:eastAsia="zh-CN"/>
              </w:rPr>
              <w:t>2</w:t>
            </w:r>
          </w:p>
        </w:tc>
        <w:tc>
          <w:tcPr>
            <w:tcW w:w="950" w:type="dxa"/>
            <w:tcBorders>
              <w:left w:val="single" w:color="auto" w:sz="4" w:space="0"/>
              <w:right w:val="single" w:color="auto" w:sz="12" w:space="0"/>
            </w:tcBorders>
            <w:shd w:val="clear" w:color="auto" w:fill="auto"/>
            <w:vAlign w:val="center"/>
          </w:tcPr>
          <w:p w14:paraId="562DAB50">
            <w:pPr>
              <w:rPr>
                <w:rFonts w:hint="default" w:ascii="Times New Roman" w:hAnsi="Times New Roman" w:eastAsia="宋体" w:cs="Times New Roman"/>
                <w:sz w:val="20"/>
                <w:szCs w:val="20"/>
                <w:lang w:val="en-US" w:eastAsia="zh-CN" w:bidi="ar-SA"/>
              </w:rPr>
            </w:pPr>
            <w:r>
              <w:rPr>
                <w:rFonts w:hint="default"/>
                <w:sz w:val="22"/>
                <w:szCs w:val="22"/>
                <w:lang w:val="en-US" w:eastAsia="zh-CN"/>
              </w:rPr>
              <w:t>演示型</w:t>
            </w:r>
          </w:p>
        </w:tc>
      </w:tr>
      <w:tr w14:paraId="3431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78839DB">
            <w:pPr>
              <w:jc w:val="center"/>
              <w:rPr>
                <w:rFonts w:hint="default" w:ascii="Times New Roman" w:hAnsi="Times New Roman" w:eastAsia="宋体" w:cs="宋体"/>
                <w:color w:val="000000"/>
                <w:sz w:val="20"/>
                <w:szCs w:val="20"/>
                <w:lang w:val="en-US" w:eastAsia="zh-CN" w:bidi="ar-SA"/>
              </w:rPr>
            </w:pPr>
            <w:r>
              <w:rPr>
                <w:rFonts w:hint="default"/>
                <w:sz w:val="22"/>
                <w:szCs w:val="22"/>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B70E80D">
            <w:pPr>
              <w:rPr>
                <w:rFonts w:hint="default" w:ascii="Times New Roman" w:hAnsi="Times New Roman" w:eastAsia="宋体" w:cs="Times New Roman"/>
                <w:sz w:val="22"/>
                <w:szCs w:val="22"/>
                <w:lang w:val="en-US" w:eastAsia="zh-CN" w:bidi="ar-SA"/>
              </w:rPr>
            </w:pPr>
            <w:r>
              <w:rPr>
                <w:rFonts w:hint="default"/>
                <w:sz w:val="22"/>
                <w:szCs w:val="22"/>
                <w:lang w:val="en-US" w:eastAsia="zh-CN"/>
              </w:rPr>
              <w:t>慢性病健康管理数据库查询与分析</w:t>
            </w:r>
          </w:p>
        </w:tc>
        <w:tc>
          <w:tcPr>
            <w:tcW w:w="4061" w:type="dxa"/>
            <w:tcBorders>
              <w:top w:val="single" w:color="auto" w:sz="4" w:space="0"/>
              <w:left w:val="single" w:color="auto" w:sz="4" w:space="0"/>
              <w:bottom w:val="single" w:color="auto" w:sz="4" w:space="0"/>
              <w:right w:val="single" w:color="auto" w:sz="4" w:space="0"/>
            </w:tcBorders>
            <w:shd w:val="clear" w:color="auto" w:fill="auto"/>
            <w:vAlign w:val="center"/>
          </w:tcPr>
          <w:p w14:paraId="19B2515D">
            <w:pPr>
              <w:rPr>
                <w:rFonts w:hint="default" w:ascii="Times New Roman" w:hAnsi="Times New Roman" w:eastAsia="宋体" w:cs="Times New Roman"/>
                <w:color w:val="000000"/>
                <w:sz w:val="20"/>
                <w:szCs w:val="20"/>
                <w:lang w:val="en-US" w:eastAsia="zh-CN" w:bidi="ar-SA"/>
              </w:rPr>
            </w:pPr>
            <w:r>
              <w:rPr>
                <w:rFonts w:hint="default"/>
                <w:sz w:val="22"/>
                <w:szCs w:val="22"/>
                <w:lang w:val="en-US" w:eastAsia="zh-CN"/>
              </w:rPr>
              <w:t>使用信息技术，查阅与慢性病管理相关的数据库或文献资源，进行相关数据分析与结果总结，结合课堂理论进行深入讨论。</w:t>
            </w:r>
          </w:p>
        </w:tc>
        <w:tc>
          <w:tcPr>
            <w:tcW w:w="862" w:type="dxa"/>
            <w:tcBorders>
              <w:left w:val="single" w:color="auto" w:sz="4" w:space="0"/>
              <w:right w:val="single" w:color="auto" w:sz="4" w:space="0"/>
            </w:tcBorders>
            <w:shd w:val="clear" w:color="auto" w:fill="auto"/>
            <w:vAlign w:val="center"/>
          </w:tcPr>
          <w:p w14:paraId="43DB3CCA">
            <w:pPr>
              <w:jc w:val="center"/>
              <w:rPr>
                <w:rFonts w:hint="default" w:ascii="Times New Roman" w:hAnsi="Times New Roman" w:eastAsia="宋体" w:cs="Times New Roman"/>
                <w:sz w:val="20"/>
                <w:szCs w:val="20"/>
                <w:lang w:val="en-US" w:eastAsia="zh-CN" w:bidi="ar-SA"/>
              </w:rPr>
            </w:pPr>
            <w:r>
              <w:rPr>
                <w:rFonts w:hint="eastAsia"/>
                <w:sz w:val="22"/>
                <w:szCs w:val="22"/>
                <w:lang w:val="en-US" w:eastAsia="zh-CN"/>
              </w:rPr>
              <w:t>2</w:t>
            </w:r>
          </w:p>
        </w:tc>
        <w:tc>
          <w:tcPr>
            <w:tcW w:w="950" w:type="dxa"/>
            <w:tcBorders>
              <w:left w:val="single" w:color="auto" w:sz="4" w:space="0"/>
              <w:right w:val="single" w:color="auto" w:sz="12" w:space="0"/>
            </w:tcBorders>
            <w:shd w:val="clear" w:color="auto" w:fill="auto"/>
            <w:vAlign w:val="center"/>
          </w:tcPr>
          <w:p w14:paraId="0FE86FFF">
            <w:pPr>
              <w:rPr>
                <w:rFonts w:hint="default" w:ascii="Times New Roman" w:hAnsi="Times New Roman" w:eastAsia="宋体" w:cs="Times New Roman"/>
                <w:sz w:val="20"/>
                <w:szCs w:val="20"/>
                <w:lang w:val="en-US" w:eastAsia="zh-CN" w:bidi="ar-SA"/>
              </w:rPr>
            </w:pPr>
            <w:r>
              <w:rPr>
                <w:rFonts w:hint="default"/>
                <w:sz w:val="22"/>
                <w:szCs w:val="22"/>
                <w:lang w:val="en-US" w:eastAsia="zh-CN"/>
              </w:rPr>
              <w:t>综合型</w:t>
            </w:r>
          </w:p>
        </w:tc>
      </w:tr>
      <w:tr w14:paraId="0CCC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42C19037">
            <w:pPr>
              <w:pStyle w:val="14"/>
              <w:rPr>
                <w:rFonts w:hint="default" w:ascii="Times New Roman" w:hAnsi="Times New Roman" w:cs="Times New Roman"/>
              </w:rPr>
            </w:pPr>
            <w:r>
              <w:rPr>
                <w:rFonts w:hint="default" w:ascii="Times New Roman" w:hAnsi="Times New Roman" w:cs="Times New Roman"/>
              </w:rPr>
              <w:t>实验类型：①演示型  ②验证型  ③设计型  ④综合型</w:t>
            </w:r>
          </w:p>
        </w:tc>
      </w:tr>
    </w:tbl>
    <w:p w14:paraId="295CEAE2">
      <w:pPr>
        <w:pStyle w:val="17"/>
        <w:spacing w:before="326" w:beforeLines="100" w:line="360" w:lineRule="auto"/>
        <w:ind w:firstLine="140" w:firstLineChars="50"/>
        <w:rPr>
          <w:rFonts w:hint="default" w:ascii="Times New Roman" w:hAnsi="Times New Roman" w:cs="Times New Roman"/>
        </w:rPr>
      </w:pPr>
      <w:bookmarkStart w:id="2" w:name="OLE_LINK2"/>
      <w:bookmarkStart w:id="3" w:name="OLE_LINK1"/>
      <w:r>
        <w:rPr>
          <w:rFonts w:hint="default" w:ascii="Times New Roman" w:hAnsi="Times New Roman" w:cs="Times New Roman"/>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74F3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154F845">
            <w:pPr>
              <w:pStyle w:val="15"/>
              <w:widowControl w:val="0"/>
              <w:spacing w:line="360" w:lineRule="auto"/>
              <w:jc w:val="left"/>
              <w:rPr>
                <w:rFonts w:hint="default" w:ascii="Times New Roman" w:hAnsi="Times New Roman" w:cs="Times New Roman"/>
                <w:lang w:val="en-US" w:eastAsia="zh-CN"/>
              </w:rPr>
            </w:pPr>
            <w:r>
              <w:rPr>
                <w:rFonts w:hint="eastAsia" w:cs="Times New Roman"/>
                <w:lang w:val="en-US" w:eastAsia="zh-CN"/>
              </w:rPr>
              <w:t xml:space="preserve">1. </w:t>
            </w:r>
            <w:r>
              <w:rPr>
                <w:rFonts w:hint="default" w:ascii="Times New Roman" w:hAnsi="Times New Roman" w:cs="Times New Roman"/>
                <w:lang w:val="en-US" w:eastAsia="zh-CN"/>
              </w:rPr>
              <w:t>树立职业发展使命感与责任感</w:t>
            </w:r>
          </w:p>
          <w:p w14:paraId="5FD5C51A">
            <w:pPr>
              <w:pStyle w:val="15"/>
              <w:widowControl w:val="0"/>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在讲解慢性病管理的基础理论时，强调健康管理职业对社会的责任与使命感，特别是为老年人群体提供健康管理与服务。通过具体的社会实例，激发学生在从事慢病管理工作时，能够深刻理解服务老年群体、促进公共健康的社会责任。</w:t>
            </w:r>
          </w:p>
          <w:p w14:paraId="4260E4F4">
            <w:pPr>
              <w:pStyle w:val="15"/>
              <w:widowControl w:val="0"/>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实践案例：引导学生学习国内外健康管理领域的先进理念与实践，突出健康服务对个体与社会的重要性。</w:t>
            </w:r>
          </w:p>
          <w:p w14:paraId="38013075">
            <w:pPr>
              <w:pStyle w:val="15"/>
              <w:widowControl w:val="0"/>
              <w:numPr>
                <w:ilvl w:val="0"/>
                <w:numId w:val="2"/>
              </w:numPr>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增强民族文化自信与中西医结合的创新应用</w:t>
            </w:r>
          </w:p>
          <w:p w14:paraId="6BAF52BF">
            <w:pPr>
              <w:pStyle w:val="15"/>
              <w:widowControl w:val="0"/>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通过介绍慢性病的中医防治方法（如糖尿病、冠心病的中医干预）以及现代医学结合的信息技术，增强学生对传统文化和现代医学的自信。在慢病管理过程中，如何合理结合中西医治疗，创造出适合老年群体的全方位健康管理方案。</w:t>
            </w:r>
          </w:p>
          <w:p w14:paraId="61588FC0">
            <w:pPr>
              <w:pStyle w:val="15"/>
              <w:widowControl w:val="0"/>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教学内容：通过讲解中国传统中医理论与现代慢病管理的结合案例，促进学生了解如何通过多学科融合提升治疗效果。</w:t>
            </w:r>
          </w:p>
          <w:p w14:paraId="6AC25E3D">
            <w:pPr>
              <w:pStyle w:val="15"/>
              <w:widowControl w:val="0"/>
              <w:numPr>
                <w:ilvl w:val="0"/>
                <w:numId w:val="3"/>
              </w:numPr>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服务人民、奉献精神的培养</w:t>
            </w:r>
          </w:p>
          <w:p w14:paraId="0658E70A">
            <w:pPr>
              <w:pStyle w:val="15"/>
              <w:widowControl w:val="0"/>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在介绍慢性病的健康管理模式和社区防控策略时，引导学生注重慢性病患者的整体福祉，特别是如何通过健康管理提升患者的生活质量。将课程思政中的服务人民精神融入到慢性病管理的具体实践中，培养学生的服务意识与社会责任感。</w:t>
            </w:r>
          </w:p>
          <w:p w14:paraId="74D48669">
            <w:pPr>
              <w:pStyle w:val="15"/>
              <w:widowControl w:val="0"/>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实践活动：通过小组讨论与角色扮演，模拟健康管理工作中的服务情境，帮助学生将服务奉献精神应用到日常健康管理工作中。</w:t>
            </w:r>
          </w:p>
          <w:p w14:paraId="199A05D4">
            <w:pPr>
              <w:pStyle w:val="15"/>
              <w:widowControl w:val="0"/>
              <w:numPr>
                <w:ilvl w:val="0"/>
                <w:numId w:val="3"/>
              </w:numPr>
              <w:spacing w:line="360" w:lineRule="auto"/>
              <w:ind w:left="0" w:leftChars="0" w:firstLine="0" w:firstLineChars="0"/>
              <w:jc w:val="left"/>
              <w:rPr>
                <w:rFonts w:hint="default" w:ascii="Times New Roman" w:hAnsi="Times New Roman" w:cs="Times New Roman"/>
                <w:lang w:val="en-US" w:eastAsia="zh-CN"/>
              </w:rPr>
            </w:pPr>
            <w:r>
              <w:rPr>
                <w:rFonts w:hint="default" w:ascii="Times New Roman" w:hAnsi="Times New Roman" w:cs="Times New Roman"/>
                <w:lang w:val="en-US" w:eastAsia="zh-CN"/>
              </w:rPr>
              <w:t>推动创新精神与健康管理技术的结合</w:t>
            </w:r>
          </w:p>
          <w:p w14:paraId="43403F06">
            <w:pPr>
              <w:pStyle w:val="15"/>
              <w:widowControl w:val="0"/>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通过介绍健康管理领域的新技术和新动态，鼓励学生了解并运用信息技术（如智能健康监测设备、大数据分析、人工智能）提升慢性病管理的效率与精准性。培养学生具备创新精神，能够在未来的工作中探索适应社会需求的新型健康管理模式。</w:t>
            </w:r>
          </w:p>
          <w:p w14:paraId="07D564B3">
            <w:pPr>
              <w:pStyle w:val="15"/>
              <w:widowControl w:val="0"/>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实际应用：通过研究现有慢性病管理中的创新技术，学生将探讨如何运用现代科技手段改善社区健康管理服务，增强学生的创新思维。</w:t>
            </w:r>
          </w:p>
          <w:p w14:paraId="165C28C5">
            <w:pPr>
              <w:pStyle w:val="15"/>
              <w:widowControl w:val="0"/>
              <w:numPr>
                <w:ilvl w:val="0"/>
                <w:numId w:val="3"/>
              </w:numPr>
              <w:spacing w:line="360" w:lineRule="auto"/>
              <w:ind w:left="0" w:leftChars="0" w:firstLine="0" w:firstLineChars="0"/>
              <w:jc w:val="left"/>
              <w:rPr>
                <w:rFonts w:hint="default" w:ascii="Times New Roman" w:hAnsi="Times New Roman" w:cs="Times New Roman"/>
                <w:lang w:val="en-US" w:eastAsia="zh-CN"/>
              </w:rPr>
            </w:pPr>
            <w:r>
              <w:rPr>
                <w:rFonts w:hint="default" w:ascii="Times New Roman" w:hAnsi="Times New Roman" w:cs="Times New Roman"/>
                <w:lang w:val="en-US" w:eastAsia="zh-CN"/>
              </w:rPr>
              <w:t>强化终身学习与自我发展意识</w:t>
            </w:r>
          </w:p>
          <w:p w14:paraId="7625564A">
            <w:pPr>
              <w:pStyle w:val="15"/>
              <w:widowControl w:val="0"/>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强调慢性病管理与健康管理领域的不断发展，鼓励学生树立终身学习的理念，适应不断变化的医疗与健康管理环境。课程中可以通过案例分析和最新研究成果，引导学生对未来发展方向进行思考和规划。</w:t>
            </w:r>
          </w:p>
          <w:p w14:paraId="7E0BCBE1">
            <w:pPr>
              <w:pStyle w:val="15"/>
              <w:widowControl w:val="0"/>
              <w:spacing w:line="360" w:lineRule="auto"/>
              <w:jc w:val="left"/>
              <w:rPr>
                <w:rFonts w:hint="default" w:ascii="Times New Roman" w:hAnsi="Times New Roman" w:cs="Times New Roman"/>
                <w:lang w:val="en-US" w:eastAsia="zh-CN"/>
              </w:rPr>
            </w:pPr>
            <w:r>
              <w:rPr>
                <w:rFonts w:hint="default" w:ascii="Times New Roman" w:hAnsi="Times New Roman" w:cs="Times New Roman"/>
                <w:lang w:val="en-US" w:eastAsia="zh-CN"/>
              </w:rPr>
              <w:t>学习目标：培养学生具备持续学习和自我提升的能力，能够在未来的职业生涯中不断吸收新知识、应对挑战、解决问题。</w:t>
            </w:r>
          </w:p>
        </w:tc>
      </w:tr>
    </w:tbl>
    <w:p w14:paraId="378EAD20">
      <w:pPr>
        <w:pStyle w:val="17"/>
        <w:spacing w:before="326" w:beforeLines="100" w:line="360" w:lineRule="auto"/>
        <w:rPr>
          <w:rFonts w:hint="default" w:ascii="Times New Roman" w:hAnsi="Times New Roman" w:cs="Times New Roman"/>
        </w:rPr>
      </w:pPr>
      <w:r>
        <w:rPr>
          <w:rFonts w:hint="default" w:ascii="Times New Roman" w:hAnsi="Times New Roman" w:cs="Times New Roman"/>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738"/>
        <w:gridCol w:w="1804"/>
      </w:tblGrid>
      <w:tr w14:paraId="70C7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132FE5C">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总评构成</w:t>
            </w:r>
          </w:p>
        </w:tc>
        <w:tc>
          <w:tcPr>
            <w:tcW w:w="709" w:type="dxa"/>
            <w:vMerge w:val="restart"/>
            <w:tcBorders>
              <w:top w:val="single" w:color="auto" w:sz="12" w:space="0"/>
            </w:tcBorders>
            <w:vAlign w:val="center"/>
          </w:tcPr>
          <w:p w14:paraId="366FA763">
            <w:pPr>
              <w:pStyle w:val="17"/>
              <w:widowControl w:val="0"/>
              <w:spacing w:line="240" w:lineRule="auto"/>
              <w:jc w:val="center"/>
              <w:rPr>
                <w:rFonts w:hint="default" w:ascii="Times New Roman" w:hAnsi="Times New Roman" w:cs="Times New Roman"/>
              </w:rPr>
            </w:pPr>
            <w:r>
              <w:rPr>
                <w:rFonts w:hint="default" w:ascii="Times New Roman" w:hAnsi="Times New Roman" w:cs="Times New Roman"/>
                <w:bCs/>
                <w:sz w:val="21"/>
                <w:szCs w:val="21"/>
              </w:rPr>
              <w:t>占比</w:t>
            </w:r>
          </w:p>
        </w:tc>
        <w:tc>
          <w:tcPr>
            <w:tcW w:w="2353" w:type="dxa"/>
            <w:vMerge w:val="restart"/>
            <w:tcBorders>
              <w:top w:val="single" w:color="auto" w:sz="12" w:space="0"/>
              <w:right w:val="double" w:color="auto" w:sz="4" w:space="0"/>
            </w:tcBorders>
            <w:vAlign w:val="center"/>
          </w:tcPr>
          <w:p w14:paraId="18786AAE">
            <w:pPr>
              <w:pStyle w:val="17"/>
              <w:widowControl w:val="0"/>
              <w:jc w:val="center"/>
              <w:rPr>
                <w:rFonts w:hint="default" w:ascii="Times New Roman" w:hAnsi="Times New Roman" w:cs="Times New Roman"/>
                <w:bCs/>
                <w:sz w:val="21"/>
                <w:szCs w:val="21"/>
              </w:rPr>
            </w:pPr>
            <w:r>
              <w:rPr>
                <w:rFonts w:hint="default" w:ascii="Times New Roman" w:hAnsi="Times New Roman" w:cs="Times New Roman"/>
                <w:bCs/>
                <w:sz w:val="21"/>
                <w:szCs w:val="21"/>
              </w:rPr>
              <w:t>考核方式</w:t>
            </w:r>
          </w:p>
        </w:tc>
        <w:tc>
          <w:tcPr>
            <w:tcW w:w="2574" w:type="dxa"/>
            <w:gridSpan w:val="4"/>
            <w:tcBorders>
              <w:top w:val="single" w:color="auto" w:sz="12" w:space="0"/>
              <w:left w:val="double" w:color="auto" w:sz="4" w:space="0"/>
            </w:tcBorders>
            <w:vAlign w:val="center"/>
          </w:tcPr>
          <w:p w14:paraId="0BCA0F82">
            <w:pPr>
              <w:pStyle w:val="17"/>
              <w:widowControl w:val="0"/>
              <w:spacing w:line="240" w:lineRule="auto"/>
              <w:jc w:val="center"/>
              <w:rPr>
                <w:rFonts w:hint="default" w:ascii="Times New Roman" w:hAnsi="Times New Roman" w:cs="Times New Roman"/>
              </w:rPr>
            </w:pPr>
            <w:r>
              <w:rPr>
                <w:rFonts w:hint="default" w:ascii="Times New Roman" w:hAnsi="Times New Roman" w:cs="Times New Roman"/>
                <w:bCs/>
                <w:sz w:val="21"/>
                <w:szCs w:val="21"/>
              </w:rPr>
              <w:t>课程目标</w:t>
            </w:r>
          </w:p>
        </w:tc>
        <w:tc>
          <w:tcPr>
            <w:tcW w:w="1804" w:type="dxa"/>
            <w:vMerge w:val="restart"/>
            <w:tcBorders>
              <w:top w:val="single" w:color="auto" w:sz="12" w:space="0"/>
              <w:right w:val="single" w:color="auto" w:sz="12" w:space="0"/>
            </w:tcBorders>
            <w:vAlign w:val="center"/>
          </w:tcPr>
          <w:p w14:paraId="09DC7AD6">
            <w:pPr>
              <w:pStyle w:val="17"/>
              <w:widowControl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合计</w:t>
            </w:r>
          </w:p>
        </w:tc>
      </w:tr>
      <w:tr w14:paraId="4C28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64815BE">
            <w:pPr>
              <w:widowControl w:val="0"/>
              <w:snapToGrid w:val="0"/>
              <w:jc w:val="center"/>
              <w:rPr>
                <w:rFonts w:hint="default" w:ascii="Times New Roman" w:hAnsi="Times New Roman" w:eastAsia="黑体" w:cs="Times New Roman"/>
                <w:bCs/>
                <w:sz w:val="21"/>
                <w:szCs w:val="21"/>
              </w:rPr>
            </w:pPr>
          </w:p>
        </w:tc>
        <w:tc>
          <w:tcPr>
            <w:tcW w:w="709" w:type="dxa"/>
            <w:vMerge w:val="continue"/>
          </w:tcPr>
          <w:p w14:paraId="706F34C3">
            <w:pPr>
              <w:pStyle w:val="17"/>
              <w:widowControl w:val="0"/>
              <w:jc w:val="both"/>
              <w:rPr>
                <w:rFonts w:hint="default" w:ascii="Times New Roman" w:hAnsi="Times New Roman" w:cs="Times New Roman"/>
                <w:bCs/>
                <w:sz w:val="21"/>
                <w:szCs w:val="21"/>
              </w:rPr>
            </w:pPr>
          </w:p>
        </w:tc>
        <w:tc>
          <w:tcPr>
            <w:tcW w:w="2353" w:type="dxa"/>
            <w:vMerge w:val="continue"/>
            <w:tcBorders>
              <w:right w:val="double" w:color="auto" w:sz="4" w:space="0"/>
            </w:tcBorders>
          </w:tcPr>
          <w:p w14:paraId="282D1573">
            <w:pPr>
              <w:pStyle w:val="17"/>
              <w:widowControl w:val="0"/>
              <w:jc w:val="both"/>
              <w:rPr>
                <w:rFonts w:hint="default" w:ascii="Times New Roman" w:hAnsi="Times New Roman" w:cs="Times New Roman"/>
                <w:bCs/>
                <w:sz w:val="21"/>
                <w:szCs w:val="21"/>
              </w:rPr>
            </w:pPr>
          </w:p>
        </w:tc>
        <w:tc>
          <w:tcPr>
            <w:tcW w:w="612" w:type="dxa"/>
            <w:tcBorders>
              <w:left w:val="double" w:color="auto" w:sz="4" w:space="0"/>
            </w:tcBorders>
            <w:vAlign w:val="center"/>
          </w:tcPr>
          <w:p w14:paraId="5B1521BA">
            <w:pPr>
              <w:pStyle w:val="17"/>
              <w:widowControl w:val="0"/>
              <w:spacing w:line="240" w:lineRule="auto"/>
              <w:jc w:val="center"/>
              <w:rPr>
                <w:rFonts w:hint="default" w:ascii="Times New Roman" w:hAnsi="Times New Roman" w:eastAsia="黑体" w:cs="Times New Roman"/>
                <w:bCs/>
                <w:sz w:val="21"/>
                <w:szCs w:val="21"/>
                <w:lang w:val="en-US" w:eastAsia="zh-CN"/>
              </w:rPr>
            </w:pPr>
            <w:r>
              <w:rPr>
                <w:rFonts w:hint="default" w:ascii="Times New Roman" w:hAnsi="Times New Roman" w:cs="Times New Roman"/>
                <w:bCs/>
                <w:sz w:val="21"/>
                <w:szCs w:val="21"/>
                <w:lang w:val="en-US" w:eastAsia="zh-CN"/>
              </w:rPr>
              <w:t>1</w:t>
            </w:r>
          </w:p>
        </w:tc>
        <w:tc>
          <w:tcPr>
            <w:tcW w:w="612" w:type="dxa"/>
            <w:vAlign w:val="center"/>
          </w:tcPr>
          <w:p w14:paraId="5F43EE0C">
            <w:pPr>
              <w:pStyle w:val="17"/>
              <w:widowControl w:val="0"/>
              <w:spacing w:line="240" w:lineRule="auto"/>
              <w:jc w:val="center"/>
              <w:rPr>
                <w:rFonts w:hint="default" w:ascii="Times New Roman" w:hAnsi="Times New Roman" w:eastAsia="黑体" w:cs="Times New Roman"/>
                <w:bCs/>
                <w:sz w:val="21"/>
                <w:szCs w:val="21"/>
                <w:lang w:val="en-US" w:eastAsia="zh-CN"/>
              </w:rPr>
            </w:pPr>
            <w:r>
              <w:rPr>
                <w:rFonts w:hint="default" w:ascii="Times New Roman" w:hAnsi="Times New Roman" w:cs="Times New Roman"/>
                <w:bCs/>
                <w:sz w:val="21"/>
                <w:szCs w:val="21"/>
                <w:lang w:val="en-US" w:eastAsia="zh-CN"/>
              </w:rPr>
              <w:t>2</w:t>
            </w:r>
          </w:p>
        </w:tc>
        <w:tc>
          <w:tcPr>
            <w:tcW w:w="612" w:type="dxa"/>
            <w:vAlign w:val="center"/>
          </w:tcPr>
          <w:p w14:paraId="4FBB19FF">
            <w:pPr>
              <w:pStyle w:val="17"/>
              <w:widowControl w:val="0"/>
              <w:spacing w:line="240" w:lineRule="auto"/>
              <w:jc w:val="center"/>
              <w:rPr>
                <w:rFonts w:hint="default" w:ascii="Times New Roman" w:hAnsi="Times New Roman" w:eastAsia="黑体" w:cs="Times New Roman"/>
                <w:bCs/>
                <w:sz w:val="21"/>
                <w:szCs w:val="21"/>
                <w:lang w:val="en-US" w:eastAsia="zh-CN"/>
              </w:rPr>
            </w:pPr>
            <w:r>
              <w:rPr>
                <w:rFonts w:hint="default" w:ascii="Times New Roman" w:hAnsi="Times New Roman" w:cs="Times New Roman"/>
                <w:bCs/>
                <w:sz w:val="21"/>
                <w:szCs w:val="21"/>
                <w:lang w:val="en-US" w:eastAsia="zh-CN"/>
              </w:rPr>
              <w:t>3</w:t>
            </w:r>
          </w:p>
        </w:tc>
        <w:tc>
          <w:tcPr>
            <w:tcW w:w="738" w:type="dxa"/>
            <w:vAlign w:val="center"/>
          </w:tcPr>
          <w:p w14:paraId="735BA182">
            <w:pPr>
              <w:pStyle w:val="17"/>
              <w:widowControl w:val="0"/>
              <w:spacing w:line="240" w:lineRule="auto"/>
              <w:jc w:val="center"/>
              <w:rPr>
                <w:rFonts w:hint="default" w:ascii="Times New Roman" w:hAnsi="Times New Roman" w:eastAsia="黑体" w:cs="Times New Roman"/>
                <w:bCs/>
                <w:sz w:val="21"/>
                <w:szCs w:val="21"/>
                <w:lang w:val="en-US" w:eastAsia="zh-CN"/>
              </w:rPr>
            </w:pPr>
            <w:r>
              <w:rPr>
                <w:rFonts w:hint="default" w:ascii="Times New Roman" w:hAnsi="Times New Roman" w:cs="Times New Roman"/>
                <w:bCs/>
                <w:sz w:val="21"/>
                <w:szCs w:val="21"/>
                <w:lang w:val="en-US" w:eastAsia="zh-CN"/>
              </w:rPr>
              <w:t>4</w:t>
            </w:r>
          </w:p>
        </w:tc>
        <w:tc>
          <w:tcPr>
            <w:tcW w:w="1804" w:type="dxa"/>
            <w:vMerge w:val="continue"/>
            <w:tcBorders>
              <w:right w:val="single" w:color="auto" w:sz="12" w:space="0"/>
            </w:tcBorders>
          </w:tcPr>
          <w:p w14:paraId="509D446C">
            <w:pPr>
              <w:pStyle w:val="17"/>
              <w:widowControl w:val="0"/>
              <w:spacing w:line="240" w:lineRule="auto"/>
              <w:jc w:val="center"/>
              <w:rPr>
                <w:rFonts w:hint="default" w:ascii="Times New Roman" w:hAnsi="Times New Roman" w:cs="Times New Roman"/>
                <w:bCs/>
                <w:sz w:val="21"/>
                <w:szCs w:val="21"/>
              </w:rPr>
            </w:pPr>
          </w:p>
        </w:tc>
      </w:tr>
      <w:tr w14:paraId="28CF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2F0945F">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X1</w:t>
            </w:r>
          </w:p>
        </w:tc>
        <w:tc>
          <w:tcPr>
            <w:tcW w:w="709" w:type="dxa"/>
            <w:vAlign w:val="top"/>
          </w:tcPr>
          <w:p w14:paraId="3D5FE88D">
            <w:pPr>
              <w:widowControl w:val="0"/>
              <w:snapToGrid w:val="0"/>
              <w:spacing w:before="156" w:beforeLines="50" w:after="156" w:afterLines="50"/>
              <w:jc w:val="center"/>
              <w:rPr>
                <w:rFonts w:hint="default" w:ascii="Times New Roman" w:hAnsi="Times New Roman" w:eastAsia="宋体" w:cs="Times New Roman"/>
                <w:bCs/>
                <w:color w:val="000000"/>
                <w:sz w:val="21"/>
                <w:szCs w:val="21"/>
                <w:lang w:val="en-US" w:eastAsia="zh-CN" w:bidi="ar-SA"/>
              </w:rPr>
            </w:pPr>
            <w:r>
              <w:rPr>
                <w:rFonts w:hint="default" w:ascii="Times New Roman" w:hAnsi="Times New Roman" w:cs="Times New Roman"/>
              </w:rPr>
              <w:t>40%</w:t>
            </w:r>
          </w:p>
        </w:tc>
        <w:tc>
          <w:tcPr>
            <w:tcW w:w="2353" w:type="dxa"/>
            <w:tcBorders>
              <w:right w:val="double" w:color="auto" w:sz="4" w:space="0"/>
            </w:tcBorders>
            <w:vAlign w:val="top"/>
          </w:tcPr>
          <w:p w14:paraId="311BF329">
            <w:pPr>
              <w:widowControl w:val="0"/>
              <w:snapToGrid w:val="0"/>
              <w:spacing w:before="156" w:beforeLines="50" w:after="156" w:afterLines="50"/>
              <w:jc w:val="center"/>
              <w:rPr>
                <w:rFonts w:hint="default" w:ascii="Times New Roman" w:hAnsi="Times New Roman" w:eastAsia="宋体" w:cs="Times New Roman"/>
                <w:bCs/>
                <w:color w:val="000000"/>
                <w:sz w:val="21"/>
                <w:szCs w:val="21"/>
                <w:lang w:val="en-US" w:eastAsia="zh-CN" w:bidi="ar-SA"/>
              </w:rPr>
            </w:pPr>
            <w:r>
              <w:rPr>
                <w:rFonts w:hint="default" w:ascii="Times New Roman" w:hAnsi="Times New Roman" w:cs="Times New Roman"/>
                <w:lang w:val="en-US" w:eastAsia="zh-Hans"/>
              </w:rPr>
              <w:t>随堂测验</w:t>
            </w:r>
          </w:p>
        </w:tc>
        <w:tc>
          <w:tcPr>
            <w:tcW w:w="612" w:type="dxa"/>
            <w:tcBorders>
              <w:left w:val="double" w:color="auto" w:sz="4" w:space="0"/>
            </w:tcBorders>
            <w:vAlign w:val="center"/>
          </w:tcPr>
          <w:p w14:paraId="428C2BAB">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color w:val="000000"/>
                <w:sz w:val="21"/>
                <w:szCs w:val="21"/>
                <w:lang w:val="en-US" w:eastAsia="zh-CN" w:bidi="ar-SA"/>
              </w:rPr>
              <w:t>40</w:t>
            </w:r>
          </w:p>
        </w:tc>
        <w:tc>
          <w:tcPr>
            <w:tcW w:w="612" w:type="dxa"/>
            <w:vAlign w:val="center"/>
          </w:tcPr>
          <w:p w14:paraId="7AC72EEB">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lang w:val="en-US" w:eastAsia="zh-CN"/>
              </w:rPr>
              <w:t>40</w:t>
            </w:r>
          </w:p>
        </w:tc>
        <w:tc>
          <w:tcPr>
            <w:tcW w:w="612" w:type="dxa"/>
            <w:vAlign w:val="center"/>
          </w:tcPr>
          <w:p w14:paraId="0F13B44E">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lang w:val="en-US" w:eastAsia="zh-CN"/>
              </w:rPr>
              <w:t>1</w:t>
            </w:r>
            <w:r>
              <w:rPr>
                <w:rFonts w:hint="eastAsia" w:cs="Times New Roman"/>
                <w:lang w:val="en-US" w:eastAsia="zh-CN"/>
              </w:rPr>
              <w:t>0</w:t>
            </w:r>
          </w:p>
        </w:tc>
        <w:tc>
          <w:tcPr>
            <w:tcW w:w="738" w:type="dxa"/>
            <w:vAlign w:val="center"/>
          </w:tcPr>
          <w:p w14:paraId="035F109D">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rPr>
              <w:t>10</w:t>
            </w:r>
          </w:p>
        </w:tc>
        <w:tc>
          <w:tcPr>
            <w:tcW w:w="1804" w:type="dxa"/>
            <w:tcBorders>
              <w:right w:val="single" w:color="auto" w:sz="12" w:space="0"/>
            </w:tcBorders>
            <w:vAlign w:val="center"/>
          </w:tcPr>
          <w:p w14:paraId="5A81EE88">
            <w:pPr>
              <w:pStyle w:val="15"/>
              <w:widowControl w:val="0"/>
              <w:rPr>
                <w:rFonts w:hint="default" w:ascii="Times New Roman" w:hAnsi="Times New Roman" w:cs="Times New Roman"/>
              </w:rPr>
            </w:pPr>
            <w:r>
              <w:rPr>
                <w:rFonts w:hint="default" w:ascii="Times New Roman" w:hAnsi="Times New Roman" w:cs="Times New Roman"/>
              </w:rPr>
              <w:t>100</w:t>
            </w:r>
          </w:p>
        </w:tc>
      </w:tr>
      <w:tr w14:paraId="6E6EC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C26CCBE">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X2</w:t>
            </w:r>
          </w:p>
        </w:tc>
        <w:tc>
          <w:tcPr>
            <w:tcW w:w="709" w:type="dxa"/>
            <w:vAlign w:val="top"/>
          </w:tcPr>
          <w:p w14:paraId="6214ABC8">
            <w:pPr>
              <w:widowControl w:val="0"/>
              <w:snapToGrid w:val="0"/>
              <w:spacing w:before="156" w:beforeLines="50" w:after="156" w:afterLines="50"/>
              <w:jc w:val="center"/>
              <w:rPr>
                <w:rFonts w:hint="default" w:ascii="Times New Roman" w:hAnsi="Times New Roman" w:eastAsia="宋体" w:cs="Times New Roman"/>
                <w:bCs/>
                <w:color w:val="000000"/>
                <w:sz w:val="21"/>
                <w:szCs w:val="21"/>
                <w:lang w:val="en-US" w:eastAsia="zh-CN" w:bidi="ar-SA"/>
              </w:rPr>
            </w:pPr>
            <w:r>
              <w:rPr>
                <w:rFonts w:hint="default" w:ascii="Times New Roman" w:hAnsi="Times New Roman" w:cs="Times New Roman"/>
              </w:rPr>
              <w:t>30%</w:t>
            </w:r>
          </w:p>
        </w:tc>
        <w:tc>
          <w:tcPr>
            <w:tcW w:w="2353" w:type="dxa"/>
            <w:tcBorders>
              <w:right w:val="double" w:color="auto" w:sz="4" w:space="0"/>
            </w:tcBorders>
            <w:vAlign w:val="top"/>
          </w:tcPr>
          <w:p w14:paraId="42DE96AC">
            <w:pPr>
              <w:widowControl w:val="0"/>
              <w:snapToGrid w:val="0"/>
              <w:spacing w:before="156" w:beforeLines="50" w:after="156" w:afterLines="50"/>
              <w:jc w:val="center"/>
              <w:rPr>
                <w:rFonts w:hint="default" w:ascii="Times New Roman" w:hAnsi="Times New Roman" w:eastAsia="宋体" w:cs="Times New Roman"/>
                <w:bCs/>
                <w:color w:val="000000"/>
                <w:sz w:val="21"/>
                <w:szCs w:val="21"/>
                <w:lang w:val="en-US" w:eastAsia="zh-CN" w:bidi="ar-SA"/>
              </w:rPr>
            </w:pPr>
            <w:r>
              <w:rPr>
                <w:rFonts w:hint="default" w:ascii="Times New Roman" w:hAnsi="Times New Roman" w:cs="Times New Roman"/>
              </w:rPr>
              <w:t>课堂</w:t>
            </w:r>
            <w:r>
              <w:rPr>
                <w:rFonts w:hint="default" w:ascii="Times New Roman" w:hAnsi="Times New Roman" w:cs="Times New Roman"/>
                <w:lang w:eastAsia="zh-Hans"/>
              </w:rPr>
              <w:t>作业</w:t>
            </w:r>
          </w:p>
        </w:tc>
        <w:tc>
          <w:tcPr>
            <w:tcW w:w="612" w:type="dxa"/>
            <w:tcBorders>
              <w:left w:val="double" w:color="auto" w:sz="4" w:space="0"/>
            </w:tcBorders>
            <w:vAlign w:val="center"/>
          </w:tcPr>
          <w:p w14:paraId="5DB40123">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rPr>
              <w:t>30</w:t>
            </w:r>
          </w:p>
        </w:tc>
        <w:tc>
          <w:tcPr>
            <w:tcW w:w="612" w:type="dxa"/>
            <w:vAlign w:val="center"/>
          </w:tcPr>
          <w:p w14:paraId="72484D97">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color w:val="000000"/>
                <w:sz w:val="21"/>
                <w:szCs w:val="21"/>
                <w:lang w:val="en-US" w:eastAsia="zh-CN" w:bidi="ar-SA"/>
              </w:rPr>
              <w:t>20</w:t>
            </w:r>
          </w:p>
        </w:tc>
        <w:tc>
          <w:tcPr>
            <w:tcW w:w="612" w:type="dxa"/>
            <w:vAlign w:val="center"/>
          </w:tcPr>
          <w:p w14:paraId="4B142BEA">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lang w:val="en-US" w:eastAsia="zh-CN"/>
              </w:rPr>
              <w:t>30</w:t>
            </w:r>
          </w:p>
        </w:tc>
        <w:tc>
          <w:tcPr>
            <w:tcW w:w="738" w:type="dxa"/>
            <w:vAlign w:val="center"/>
          </w:tcPr>
          <w:p w14:paraId="05DF3E77">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color w:val="000000"/>
                <w:sz w:val="21"/>
                <w:szCs w:val="21"/>
                <w:lang w:val="en-US" w:eastAsia="zh-CN" w:bidi="ar-SA"/>
              </w:rPr>
              <w:t>20</w:t>
            </w:r>
          </w:p>
        </w:tc>
        <w:tc>
          <w:tcPr>
            <w:tcW w:w="1804" w:type="dxa"/>
            <w:tcBorders>
              <w:right w:val="single" w:color="auto" w:sz="12" w:space="0"/>
            </w:tcBorders>
            <w:vAlign w:val="center"/>
          </w:tcPr>
          <w:p w14:paraId="635DA2F3">
            <w:pPr>
              <w:pStyle w:val="15"/>
              <w:widowControl w:val="0"/>
              <w:rPr>
                <w:rFonts w:hint="default" w:ascii="Times New Roman" w:hAnsi="Times New Roman" w:cs="Times New Roman"/>
              </w:rPr>
            </w:pPr>
            <w:r>
              <w:rPr>
                <w:rFonts w:hint="default" w:ascii="Times New Roman" w:hAnsi="Times New Roman" w:cs="Times New Roman"/>
              </w:rPr>
              <w:t>100</w:t>
            </w:r>
          </w:p>
        </w:tc>
      </w:tr>
      <w:tr w14:paraId="7223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5A43E02">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X3</w:t>
            </w:r>
          </w:p>
        </w:tc>
        <w:tc>
          <w:tcPr>
            <w:tcW w:w="709" w:type="dxa"/>
            <w:vAlign w:val="top"/>
          </w:tcPr>
          <w:p w14:paraId="11DFEF99">
            <w:pPr>
              <w:widowControl w:val="0"/>
              <w:snapToGrid w:val="0"/>
              <w:spacing w:before="156" w:beforeLines="50" w:after="156" w:afterLines="50"/>
              <w:jc w:val="center"/>
              <w:rPr>
                <w:rFonts w:hint="default" w:ascii="Times New Roman" w:hAnsi="Times New Roman" w:eastAsia="宋体" w:cs="Times New Roman"/>
                <w:bCs/>
                <w:color w:val="000000"/>
                <w:sz w:val="21"/>
                <w:szCs w:val="21"/>
                <w:lang w:val="en-US" w:eastAsia="zh-CN" w:bidi="ar-SA"/>
              </w:rPr>
            </w:pPr>
            <w:r>
              <w:rPr>
                <w:rFonts w:hint="default" w:ascii="Times New Roman" w:hAnsi="Times New Roman" w:cs="Times New Roman"/>
              </w:rPr>
              <w:t>20%</w:t>
            </w:r>
          </w:p>
        </w:tc>
        <w:tc>
          <w:tcPr>
            <w:tcW w:w="2353" w:type="dxa"/>
            <w:tcBorders>
              <w:right w:val="double" w:color="auto" w:sz="4" w:space="0"/>
            </w:tcBorders>
            <w:vAlign w:val="top"/>
          </w:tcPr>
          <w:p w14:paraId="54131D08">
            <w:pPr>
              <w:widowControl w:val="0"/>
              <w:snapToGrid w:val="0"/>
              <w:spacing w:before="156" w:beforeLines="50" w:after="156" w:afterLines="50"/>
              <w:jc w:val="center"/>
              <w:rPr>
                <w:rFonts w:hint="default" w:ascii="Times New Roman" w:hAnsi="Times New Roman" w:eastAsia="宋体" w:cs="Times New Roman"/>
                <w:bCs/>
                <w:color w:val="000000"/>
                <w:sz w:val="21"/>
                <w:szCs w:val="21"/>
                <w:lang w:val="en-US" w:eastAsia="zh-CN" w:bidi="ar-SA"/>
              </w:rPr>
            </w:pPr>
            <w:r>
              <w:rPr>
                <w:rFonts w:hint="default" w:ascii="Times New Roman" w:hAnsi="Times New Roman" w:cs="Times New Roman"/>
              </w:rPr>
              <w:t>平时成绩（考勤+课堂表现）</w:t>
            </w:r>
          </w:p>
        </w:tc>
        <w:tc>
          <w:tcPr>
            <w:tcW w:w="612" w:type="dxa"/>
            <w:tcBorders>
              <w:left w:val="double" w:color="auto" w:sz="4" w:space="0"/>
            </w:tcBorders>
            <w:vAlign w:val="center"/>
          </w:tcPr>
          <w:p w14:paraId="6A4A7AD5">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rPr>
              <w:t>30</w:t>
            </w:r>
          </w:p>
        </w:tc>
        <w:tc>
          <w:tcPr>
            <w:tcW w:w="612" w:type="dxa"/>
            <w:vAlign w:val="center"/>
          </w:tcPr>
          <w:p w14:paraId="21747B54">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color w:val="000000"/>
                <w:sz w:val="21"/>
                <w:szCs w:val="21"/>
                <w:lang w:val="en-US" w:eastAsia="zh-CN" w:bidi="ar-SA"/>
              </w:rPr>
              <w:t>40</w:t>
            </w:r>
          </w:p>
        </w:tc>
        <w:tc>
          <w:tcPr>
            <w:tcW w:w="612" w:type="dxa"/>
            <w:vAlign w:val="center"/>
          </w:tcPr>
          <w:p w14:paraId="68C18B1B">
            <w:pPr>
              <w:pStyle w:val="15"/>
              <w:widowControl w:val="0"/>
              <w:rPr>
                <w:rFonts w:hint="default" w:ascii="Times New Roman" w:hAnsi="Times New Roman" w:eastAsia="宋体" w:cs="Times New Roman"/>
                <w:color w:val="000000"/>
                <w:sz w:val="21"/>
                <w:szCs w:val="21"/>
                <w:lang w:val="en-US" w:eastAsia="zh-CN" w:bidi="ar-SA"/>
              </w:rPr>
            </w:pPr>
            <w:r>
              <w:rPr>
                <w:rFonts w:hint="default" w:ascii="Times New Roman" w:hAnsi="Times New Roman" w:cs="Times New Roman"/>
              </w:rPr>
              <w:t>30</w:t>
            </w:r>
          </w:p>
        </w:tc>
        <w:tc>
          <w:tcPr>
            <w:tcW w:w="738" w:type="dxa"/>
            <w:vAlign w:val="center"/>
          </w:tcPr>
          <w:p w14:paraId="4845C17D">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color w:val="000000"/>
                <w:sz w:val="21"/>
                <w:szCs w:val="21"/>
                <w:lang w:val="en-US" w:eastAsia="zh-CN" w:bidi="ar-SA"/>
              </w:rPr>
              <w:t>0</w:t>
            </w:r>
          </w:p>
        </w:tc>
        <w:tc>
          <w:tcPr>
            <w:tcW w:w="1804" w:type="dxa"/>
            <w:tcBorders>
              <w:right w:val="single" w:color="auto" w:sz="12" w:space="0"/>
            </w:tcBorders>
            <w:vAlign w:val="center"/>
          </w:tcPr>
          <w:p w14:paraId="5BA5688B">
            <w:pPr>
              <w:pStyle w:val="15"/>
              <w:widowControl w:val="0"/>
              <w:rPr>
                <w:rFonts w:hint="default" w:ascii="Times New Roman" w:hAnsi="Times New Roman" w:cs="Times New Roman"/>
              </w:rPr>
            </w:pPr>
            <w:r>
              <w:rPr>
                <w:rFonts w:hint="default" w:ascii="Times New Roman" w:hAnsi="Times New Roman" w:cs="Times New Roman"/>
              </w:rPr>
              <w:t>100</w:t>
            </w:r>
          </w:p>
        </w:tc>
      </w:tr>
      <w:tr w14:paraId="37F6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3593F10">
            <w:pPr>
              <w:widowControl w:val="0"/>
              <w:snapToGrid w:val="0"/>
              <w:jc w:val="center"/>
              <w:rPr>
                <w:rFonts w:hint="eastAsia" w:ascii="Times New Roman" w:hAnsi="Times New Roman" w:eastAsia="黑体" w:cs="Times New Roman"/>
                <w:bCs/>
                <w:sz w:val="21"/>
                <w:szCs w:val="21"/>
                <w:lang w:eastAsia="zh-CN"/>
              </w:rPr>
            </w:pPr>
            <w:r>
              <w:rPr>
                <w:rFonts w:hint="eastAsia" w:ascii="Times New Roman" w:hAnsi="Times New Roman" w:eastAsia="黑体" w:cs="Times New Roman"/>
                <w:bCs/>
                <w:sz w:val="21"/>
                <w:szCs w:val="21"/>
                <w:lang w:val="en-US" w:eastAsia="zh-CN"/>
              </w:rPr>
              <w:t>X4</w:t>
            </w:r>
          </w:p>
        </w:tc>
        <w:tc>
          <w:tcPr>
            <w:tcW w:w="709" w:type="dxa"/>
            <w:vAlign w:val="top"/>
          </w:tcPr>
          <w:p w14:paraId="4147999B">
            <w:pPr>
              <w:widowControl w:val="0"/>
              <w:snapToGrid w:val="0"/>
              <w:spacing w:before="156" w:beforeLines="50" w:after="156" w:afterLines="50"/>
              <w:jc w:val="center"/>
              <w:rPr>
                <w:rFonts w:hint="default" w:ascii="Times New Roman" w:hAnsi="Times New Roman" w:eastAsia="宋体" w:cs="Times New Roman"/>
                <w:bCs/>
                <w:color w:val="000000"/>
                <w:sz w:val="21"/>
                <w:szCs w:val="21"/>
                <w:lang w:val="en-US" w:eastAsia="zh-CN" w:bidi="ar-SA"/>
              </w:rPr>
            </w:pPr>
            <w:r>
              <w:rPr>
                <w:rFonts w:hint="default" w:ascii="Times New Roman" w:hAnsi="Times New Roman" w:cs="Times New Roman"/>
              </w:rPr>
              <w:t>10%</w:t>
            </w:r>
          </w:p>
        </w:tc>
        <w:tc>
          <w:tcPr>
            <w:tcW w:w="2353" w:type="dxa"/>
            <w:tcBorders>
              <w:right w:val="double" w:color="auto" w:sz="4" w:space="0"/>
            </w:tcBorders>
            <w:vAlign w:val="top"/>
          </w:tcPr>
          <w:p w14:paraId="1B1BF504">
            <w:pPr>
              <w:widowControl w:val="0"/>
              <w:snapToGrid w:val="0"/>
              <w:spacing w:before="156" w:beforeLines="50" w:after="156" w:afterLines="50"/>
              <w:jc w:val="center"/>
              <w:rPr>
                <w:rFonts w:hint="default" w:ascii="Times New Roman" w:hAnsi="Times New Roman" w:eastAsia="宋体" w:cs="Times New Roman"/>
                <w:bCs/>
                <w:color w:val="000000"/>
                <w:sz w:val="21"/>
                <w:szCs w:val="21"/>
                <w:lang w:val="en-US" w:eastAsia="zh-CN" w:bidi="ar-SA"/>
              </w:rPr>
            </w:pPr>
            <w:r>
              <w:rPr>
                <w:rFonts w:hint="default" w:ascii="Times New Roman" w:hAnsi="Times New Roman" w:cs="Times New Roman"/>
              </w:rPr>
              <w:t>口头汇报</w:t>
            </w:r>
          </w:p>
        </w:tc>
        <w:tc>
          <w:tcPr>
            <w:tcW w:w="612" w:type="dxa"/>
            <w:tcBorders>
              <w:left w:val="double" w:color="auto" w:sz="4" w:space="0"/>
            </w:tcBorders>
            <w:vAlign w:val="center"/>
          </w:tcPr>
          <w:p w14:paraId="5DFA17A4">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color w:val="000000"/>
                <w:sz w:val="21"/>
                <w:szCs w:val="21"/>
                <w:lang w:val="en-US" w:eastAsia="zh-CN" w:bidi="ar-SA"/>
              </w:rPr>
              <w:t>30</w:t>
            </w:r>
          </w:p>
        </w:tc>
        <w:tc>
          <w:tcPr>
            <w:tcW w:w="612" w:type="dxa"/>
            <w:vAlign w:val="center"/>
          </w:tcPr>
          <w:p w14:paraId="192F91D0">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color w:val="000000"/>
                <w:sz w:val="21"/>
                <w:szCs w:val="21"/>
                <w:lang w:val="en-US" w:eastAsia="zh-CN" w:bidi="ar-SA"/>
              </w:rPr>
              <w:t>30</w:t>
            </w:r>
          </w:p>
        </w:tc>
        <w:tc>
          <w:tcPr>
            <w:tcW w:w="612" w:type="dxa"/>
            <w:vAlign w:val="center"/>
          </w:tcPr>
          <w:p w14:paraId="1620F0C8">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color w:val="000000"/>
                <w:sz w:val="21"/>
                <w:szCs w:val="21"/>
                <w:lang w:val="en-US" w:eastAsia="zh-CN" w:bidi="ar-SA"/>
              </w:rPr>
              <w:t>20</w:t>
            </w:r>
          </w:p>
        </w:tc>
        <w:tc>
          <w:tcPr>
            <w:tcW w:w="738" w:type="dxa"/>
            <w:vAlign w:val="center"/>
          </w:tcPr>
          <w:p w14:paraId="17A813AB">
            <w:pPr>
              <w:pStyle w:val="15"/>
              <w:widowControl w:val="0"/>
              <w:rPr>
                <w:rFonts w:hint="default" w:ascii="Times New Roman" w:hAnsi="Times New Roman" w:eastAsia="宋体" w:cs="Times New Roman"/>
                <w:color w:val="000000"/>
                <w:sz w:val="21"/>
                <w:szCs w:val="21"/>
                <w:lang w:val="en-US" w:eastAsia="zh-CN" w:bidi="ar-SA"/>
              </w:rPr>
            </w:pPr>
            <w:r>
              <w:rPr>
                <w:rFonts w:hint="eastAsia" w:cs="Times New Roman"/>
                <w:lang w:val="en-US" w:eastAsia="zh-CN"/>
              </w:rPr>
              <w:t>2</w:t>
            </w:r>
            <w:r>
              <w:rPr>
                <w:rFonts w:hint="default" w:ascii="Times New Roman" w:hAnsi="Times New Roman" w:cs="Times New Roman"/>
                <w:lang w:val="en-US" w:eastAsia="zh-CN"/>
              </w:rPr>
              <w:t>0</w:t>
            </w:r>
          </w:p>
        </w:tc>
        <w:tc>
          <w:tcPr>
            <w:tcW w:w="1804" w:type="dxa"/>
            <w:tcBorders>
              <w:right w:val="single" w:color="auto" w:sz="12" w:space="0"/>
            </w:tcBorders>
            <w:vAlign w:val="center"/>
          </w:tcPr>
          <w:p w14:paraId="074D388E">
            <w:pPr>
              <w:pStyle w:val="15"/>
              <w:widowControl w:val="0"/>
              <w:rPr>
                <w:rFonts w:hint="default" w:ascii="Times New Roman" w:hAnsi="Times New Roman" w:cs="Times New Roman"/>
              </w:rPr>
            </w:pPr>
            <w:r>
              <w:rPr>
                <w:rFonts w:hint="default" w:ascii="Times New Roman" w:hAnsi="Times New Roman" w:cs="Times New Roman"/>
              </w:rPr>
              <w:t>100</w:t>
            </w:r>
          </w:p>
        </w:tc>
      </w:tr>
    </w:tbl>
    <w:p w14:paraId="277017BB">
      <w:pPr>
        <w:pStyle w:val="17"/>
        <w:spacing w:before="312" w:beforeLines="100" w:line="360" w:lineRule="auto"/>
        <w:rPr>
          <w:rFonts w:hint="default" w:ascii="Times New Roman" w:hAnsi="Times New Roman" w:cs="Times New Roman"/>
        </w:rPr>
      </w:pPr>
      <w:r>
        <w:rPr>
          <w:rFonts w:hint="default" w:ascii="Times New Roman" w:hAnsi="Times New Roman" w:cs="Times New Roman"/>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190752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602F409">
            <w:pPr>
              <w:pStyle w:val="15"/>
              <w:widowControl w:val="0"/>
              <w:jc w:val="left"/>
              <w:rPr>
                <w:rFonts w:hint="default" w:ascii="Times New Roman" w:hAnsi="Times New Roman" w:eastAsia="仿宋" w:cs="Times New Roman"/>
              </w:rPr>
            </w:pPr>
          </w:p>
          <w:p w14:paraId="6A0F17F3">
            <w:pPr>
              <w:pStyle w:val="15"/>
              <w:widowControl w:val="0"/>
              <w:jc w:val="left"/>
              <w:rPr>
                <w:rFonts w:hint="default" w:ascii="Times New Roman" w:hAnsi="Times New Roman" w:eastAsia="宋体" w:cs="Times New Roman"/>
                <w:bCs/>
                <w:lang w:val="en-US" w:eastAsia="zh-CN"/>
              </w:rPr>
            </w:pPr>
            <w:r>
              <w:rPr>
                <w:rFonts w:hint="default" w:ascii="Times New Roman" w:hAnsi="Times New Roman" w:cs="Times New Roman"/>
                <w:bCs/>
                <w:lang w:val="en-US" w:eastAsia="zh-CN"/>
              </w:rPr>
              <w:t>无</w:t>
            </w:r>
          </w:p>
          <w:p w14:paraId="557DE18D">
            <w:pPr>
              <w:pStyle w:val="15"/>
              <w:widowControl w:val="0"/>
              <w:jc w:val="left"/>
              <w:rPr>
                <w:rFonts w:hint="default" w:ascii="Times New Roman" w:hAnsi="Times New Roman" w:cs="Times New Roman"/>
              </w:rPr>
            </w:pPr>
          </w:p>
        </w:tc>
      </w:tr>
    </w:tbl>
    <w:p w14:paraId="1DA3BECE">
      <w:pPr>
        <w:pStyle w:val="17"/>
        <w:rPr>
          <w:rFonts w:hint="default" w:ascii="Times New Roman" w:hAnsi="Times New Roman" w:cs="Times New Roman"/>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9998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50714D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50714D9">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4CA7D"/>
    <w:multiLevelType w:val="singleLevel"/>
    <w:tmpl w:val="8434CA7D"/>
    <w:lvl w:ilvl="0" w:tentative="0">
      <w:start w:val="4"/>
      <w:numFmt w:val="chineseCounting"/>
      <w:suff w:val="nothing"/>
      <w:lvlText w:val="（%1）"/>
      <w:lvlJc w:val="left"/>
      <w:rPr>
        <w:rFonts w:hint="eastAsia"/>
      </w:rPr>
    </w:lvl>
  </w:abstractNum>
  <w:abstractNum w:abstractNumId="1">
    <w:nsid w:val="5A2BD19D"/>
    <w:multiLevelType w:val="singleLevel"/>
    <w:tmpl w:val="5A2BD19D"/>
    <w:lvl w:ilvl="0" w:tentative="0">
      <w:start w:val="2"/>
      <w:numFmt w:val="decimal"/>
      <w:suff w:val="space"/>
      <w:lvlText w:val="%1."/>
      <w:lvlJc w:val="left"/>
    </w:lvl>
  </w:abstractNum>
  <w:abstractNum w:abstractNumId="2">
    <w:nsid w:val="696ADC05"/>
    <w:multiLevelType w:val="singleLevel"/>
    <w:tmpl w:val="696ADC05"/>
    <w:lvl w:ilvl="0" w:tentative="0">
      <w:start w:val="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yYzU1NTI0ZmVmZTVmNmY2ZTNhNDdhNTAzZmUyY2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5347"/>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E84738"/>
    <w:rsid w:val="024B0C39"/>
    <w:rsid w:val="04BA2C42"/>
    <w:rsid w:val="07FF2BEA"/>
    <w:rsid w:val="0A8128A6"/>
    <w:rsid w:val="0BF32A1B"/>
    <w:rsid w:val="0C0F0F2B"/>
    <w:rsid w:val="0DA61477"/>
    <w:rsid w:val="0FC401FA"/>
    <w:rsid w:val="10BD2C22"/>
    <w:rsid w:val="14FC40E8"/>
    <w:rsid w:val="157F6CF7"/>
    <w:rsid w:val="17234858"/>
    <w:rsid w:val="196F11D7"/>
    <w:rsid w:val="1CB76518"/>
    <w:rsid w:val="1F8E2079"/>
    <w:rsid w:val="20F03CE3"/>
    <w:rsid w:val="213637D8"/>
    <w:rsid w:val="215B27B6"/>
    <w:rsid w:val="220C70C0"/>
    <w:rsid w:val="22987C80"/>
    <w:rsid w:val="22E26EBD"/>
    <w:rsid w:val="23234FEB"/>
    <w:rsid w:val="24192CCC"/>
    <w:rsid w:val="25457290"/>
    <w:rsid w:val="27116B4E"/>
    <w:rsid w:val="292F0982"/>
    <w:rsid w:val="2B9A4931"/>
    <w:rsid w:val="2C016606"/>
    <w:rsid w:val="2C1C3449"/>
    <w:rsid w:val="2C9A3402"/>
    <w:rsid w:val="2D276A64"/>
    <w:rsid w:val="2EBF6305"/>
    <w:rsid w:val="33294832"/>
    <w:rsid w:val="37EF5EA7"/>
    <w:rsid w:val="39A66CD4"/>
    <w:rsid w:val="3B250F98"/>
    <w:rsid w:val="3C917734"/>
    <w:rsid w:val="3CBA1E44"/>
    <w:rsid w:val="3CD52CE1"/>
    <w:rsid w:val="3E1250E5"/>
    <w:rsid w:val="401A339B"/>
    <w:rsid w:val="410F2E6A"/>
    <w:rsid w:val="41D01BE3"/>
    <w:rsid w:val="4430136C"/>
    <w:rsid w:val="447D6A17"/>
    <w:rsid w:val="46A165C4"/>
    <w:rsid w:val="47477B71"/>
    <w:rsid w:val="476C4CE8"/>
    <w:rsid w:val="49E3251E"/>
    <w:rsid w:val="4A4C2CEB"/>
    <w:rsid w:val="4AB0382B"/>
    <w:rsid w:val="4BB3503D"/>
    <w:rsid w:val="4CE73D21"/>
    <w:rsid w:val="4ECA68D4"/>
    <w:rsid w:val="4F58501D"/>
    <w:rsid w:val="4FDD5DBB"/>
    <w:rsid w:val="4FF23CF4"/>
    <w:rsid w:val="5139564B"/>
    <w:rsid w:val="51566012"/>
    <w:rsid w:val="519136D9"/>
    <w:rsid w:val="569868B5"/>
    <w:rsid w:val="56DE4CCA"/>
    <w:rsid w:val="57C3182A"/>
    <w:rsid w:val="593A4B28"/>
    <w:rsid w:val="5A6776CD"/>
    <w:rsid w:val="5AB346C0"/>
    <w:rsid w:val="5D767545"/>
    <w:rsid w:val="5FBE5711"/>
    <w:rsid w:val="60786190"/>
    <w:rsid w:val="60A83DB3"/>
    <w:rsid w:val="611F6817"/>
    <w:rsid w:val="61304B8F"/>
    <w:rsid w:val="61C15914"/>
    <w:rsid w:val="6479263F"/>
    <w:rsid w:val="664B5F82"/>
    <w:rsid w:val="66CA1754"/>
    <w:rsid w:val="6BF50B67"/>
    <w:rsid w:val="6F147412"/>
    <w:rsid w:val="6F1E65D4"/>
    <w:rsid w:val="6F266C86"/>
    <w:rsid w:val="6F5042C2"/>
    <w:rsid w:val="712A7252"/>
    <w:rsid w:val="717604C9"/>
    <w:rsid w:val="730D5D09"/>
    <w:rsid w:val="74316312"/>
    <w:rsid w:val="76970124"/>
    <w:rsid w:val="780F13C8"/>
    <w:rsid w:val="7A1545F8"/>
    <w:rsid w:val="7B332F87"/>
    <w:rsid w:val="7C385448"/>
    <w:rsid w:val="7CB3663D"/>
    <w:rsid w:val="7CB63765"/>
    <w:rsid w:val="7D051A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rFonts w:ascii="宋体" w:hAnsi="宋体" w:eastAsia="宋体" w:cs="宋体"/>
      <w:sz w:val="20"/>
      <w:szCs w:val="20"/>
      <w:lang w:val="en-US"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widowControl/>
      <w:ind w:left="720" w:firstLine="36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4594</Words>
  <Characters>4825</Characters>
  <Lines>6</Lines>
  <Paragraphs>1</Paragraphs>
  <TotalTime>0</TotalTime>
  <ScaleCrop>false</ScaleCrop>
  <LinksUpToDate>false</LinksUpToDate>
  <CharactersWithSpaces>5247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2024-09-02T03:58:00Z</cp:lastPrinted>
  <dcterms:modified xsi:type="dcterms:W3CDTF">2025-03-20T01:15:34Z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F9F50904C0EE4CF4890CCDB0CBE38250_12</vt:lpwstr>
  </property>
  <property fmtid="{D5CDD505-2E9C-101B-9397-08002B2CF9AE}" pid="4" name="KSOTemplateDocerSaveRecord">
    <vt:lpwstr>eyJoZGlkIjoiOGYyZTQwNzY0YmUwZjVjNTE5NzMzOGJiOTgwZmM0NTEiLCJ1c2VySWQiOiI1NTQ0NjQ5MzAifQ==</vt:lpwstr>
  </property>
</Properties>
</file>