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 Regular" w:hAnsi="Times New Roman Regular" w:eastAsia="宋体" w:cs="Times New Roman Regular"/>
                <w:color w:val="000000"/>
                <w:lang w:eastAsia="zh-CN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 w:val="18"/>
                <w:szCs w:val="18"/>
                <w:lang w:eastAsia="zh-CN" w:bidi="ar"/>
              </w:rPr>
              <w:t>2070013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Times New Roman Regular" w:hAnsi="Times New Roman Regular" w:eastAsia="黑体" w:cs="Times New Roman Regular"/>
                <w:sz w:val="21"/>
                <w:szCs w:val="21"/>
                <w:lang w:eastAsia="zh-CN"/>
              </w:rPr>
            </w:pPr>
            <w:r>
              <w:rPr>
                <w:rFonts w:ascii="Times New Roman Regular" w:hAnsi="Times New Roman Regular" w:eastAsia="黑体" w:cs="Times New Roman Regular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Times New Roman Regular" w:hAnsi="Times New Roman Regular" w:eastAsia="宋体" w:cs="Times New Roman Regular"/>
                <w:sz w:val="21"/>
                <w:szCs w:val="21"/>
                <w:lang w:eastAsia="zh-CN"/>
              </w:rPr>
            </w:pPr>
            <w:r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临床营养学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Times New Roman Regular" w:hAnsi="Times New Roman Regular" w:eastAsia="宋体" w:cs="Times New Roman Regular"/>
                <w:sz w:val="21"/>
                <w:szCs w:val="21"/>
                <w:lang w:eastAsia="zh-CN"/>
              </w:rPr>
            </w:pPr>
            <w:r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2.0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Times New Roman Regular" w:hAnsi="Times New Roman Regular" w:eastAsia="黑体" w:cs="Times New Roman Regular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 Regular" w:hAnsi="Times New Roman Regular" w:eastAsia="黑体" w:cs="Times New Roman Regular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Times New Roman Regular" w:hAnsi="Times New Roman Regular" w:eastAsia="宋体" w:cs="Times New Roman Regular"/>
                <w:sz w:val="21"/>
                <w:szCs w:val="21"/>
                <w:lang w:eastAsia="zh-CN"/>
              </w:rPr>
            </w:pPr>
            <w:r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Times New Roman Regular" w:hAnsi="Times New Roman Regular" w:eastAsia="宋体" w:cs="Times New Roman Regular"/>
                <w:sz w:val="21"/>
                <w:szCs w:val="21"/>
                <w:lang w:eastAsia="zh-CN"/>
              </w:rPr>
            </w:pPr>
            <w:r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黄海英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Times New Roman Regular" w:hAnsi="Times New Roman Regular" w:eastAsia="黑体" w:cs="Times New Roman Regular"/>
                <w:kern w:val="0"/>
                <w:sz w:val="21"/>
                <w:szCs w:val="21"/>
              </w:rPr>
            </w:pPr>
            <w:r>
              <w:rPr>
                <w:rFonts w:ascii="Times New Roman Regular" w:hAnsi="Times New Roman Regular" w:eastAsia="黑体" w:cs="Times New Roman Regular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Times New Roman Regular" w:hAnsi="Times New Roman Regular" w:eastAsia="宋体" w:cs="Times New Roman Regular"/>
                <w:sz w:val="21"/>
                <w:szCs w:val="21"/>
                <w:lang w:eastAsia="zh-CN"/>
              </w:rPr>
            </w:pPr>
            <w:r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huanghaiying1224@126.com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Times New Roman Regular" w:hAnsi="Times New Roman Regular" w:cs="Times New Roman Regular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护理</w:t>
            </w:r>
            <w:r>
              <w:rPr>
                <w:rFonts w:ascii="Times New Roman Regular" w:hAnsi="Times New Roman Regular" w:cs="Times New Roman Regular" w:eastAsiaTheme="majorEastAsia"/>
                <w:color w:val="000000"/>
                <w:sz w:val="18"/>
                <w:szCs w:val="18"/>
                <w:lang w:eastAsia="zh-CN"/>
              </w:rPr>
              <w:t>B</w:t>
            </w:r>
            <w:r>
              <w:rPr>
                <w:rFonts w:hint="eastAsia" w:ascii="Times New Roman Regular" w:hAnsi="Times New Roman Regular" w:cs="Times New Roman Regular" w:eastAsiaTheme="majorEastAsia"/>
                <w:color w:val="000000"/>
                <w:sz w:val="18"/>
                <w:szCs w:val="18"/>
                <w:lang w:val="en-US" w:eastAsia="zh-CN"/>
              </w:rPr>
              <w:t>20</w:t>
            </w:r>
            <w:r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-1、2</w:t>
            </w:r>
            <w:r>
              <w:rPr>
                <w:rFonts w:hint="eastAsia"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Times New Roman Regular" w:hAnsi="Times New Roman Regular" w:eastAsia="宋体" w:cs="Times New Roman Regular"/>
                <w:sz w:val="18"/>
                <w:szCs w:val="18"/>
                <w:lang w:val="en-US" w:eastAsia="zh-CN"/>
              </w:rPr>
              <w:t>3</w:t>
            </w:r>
            <w:r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班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Times New Roman Regular" w:hAnsi="Times New Roman Regular" w:eastAsia="黑体" w:cs="Times New Roman Regular"/>
                <w:kern w:val="0"/>
                <w:sz w:val="21"/>
                <w:szCs w:val="21"/>
              </w:rPr>
            </w:pPr>
            <w:r>
              <w:rPr>
                <w:rFonts w:ascii="Times New Roman Regular" w:hAnsi="Times New Roman Regular" w:eastAsia="黑体" w:cs="Times New Roman Regular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Times New Roman Regular" w:hAnsi="Times New Roman Regular" w:eastAsia="宋体" w:cs="Times New Roman Regular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 Regular" w:hAnsi="Times New Roman Regular" w:eastAsia="宋体" w:cs="Times New Roman Regular"/>
                <w:sz w:val="18"/>
                <w:szCs w:val="18"/>
                <w:lang w:val="en-US" w:eastAsia="zh-CN"/>
              </w:rPr>
              <w:t>四教309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Times New Roman Regular" w:hAnsi="Times New Roman Regular" w:eastAsia="黑体" w:cs="Times New Roman Regular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时间: 每周三13:00～15:00    地点: 1218      电话：021-58139474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rFonts w:ascii="Times New Roman Regular" w:hAnsi="Times New Roman Regular" w:cs="Times New Roman Regular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sz w:val="18"/>
                <w:szCs w:val="18"/>
              </w:rPr>
              <w:t>《临床营养学》第4版 主编 周芸 人民卫生出版社   2017年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jc w:val="both"/>
              <w:rPr>
                <w:rFonts w:ascii="Times New Roman Regular" w:hAnsi="Times New Roman Regular" w:eastAsia="宋体" w:cs="Times New Roman Regular"/>
                <w:sz w:val="18"/>
                <w:szCs w:val="18"/>
              </w:rPr>
            </w:pPr>
            <w:r>
              <w:rPr>
                <w:rFonts w:ascii="Times New Roman Regular" w:hAnsi="Times New Roman Regular" w:eastAsia="宋体" w:cs="Times New Roman Regular"/>
                <w:sz w:val="20"/>
                <w:szCs w:val="20"/>
              </w:rPr>
              <w:t>《</w:t>
            </w:r>
            <w:r>
              <w:rPr>
                <w:rFonts w:ascii="Times New Roman Regular" w:hAnsi="Times New Roman Regular" w:eastAsia="宋体" w:cs="Times New Roman Regular"/>
                <w:sz w:val="18"/>
                <w:szCs w:val="18"/>
              </w:rPr>
              <w:t>临床营养学》第3版 主编 张爱珍 人民卫生出版社 2012年</w:t>
            </w:r>
          </w:p>
          <w:p>
            <w:pPr>
              <w:jc w:val="both"/>
              <w:rPr>
                <w:rFonts w:ascii="Times New Roman Regular" w:hAnsi="Times New Roman Regular" w:eastAsia="宋体" w:cs="Times New Roman Regular"/>
                <w:sz w:val="18"/>
                <w:szCs w:val="18"/>
              </w:rPr>
            </w:pPr>
            <w:r>
              <w:rPr>
                <w:rFonts w:ascii="Times New Roman Regular" w:hAnsi="Times New Roman Regular" w:eastAsia="宋体" w:cs="Times New Roman Regular"/>
                <w:sz w:val="18"/>
                <w:szCs w:val="18"/>
              </w:rPr>
              <w:t>《临床营养学》第3版 主编 焦广宇 人民卫生出版社 2010年</w:t>
            </w:r>
          </w:p>
          <w:p>
            <w:pPr>
              <w:jc w:val="both"/>
              <w:rPr>
                <w:rFonts w:ascii="Times New Roman Regular" w:hAnsi="Times New Roman Regular" w:eastAsia="宋体" w:cs="Times New Roman Regular"/>
                <w:sz w:val="18"/>
                <w:szCs w:val="18"/>
              </w:rPr>
            </w:pPr>
            <w:r>
              <w:rPr>
                <w:rFonts w:ascii="Times New Roman Regular" w:hAnsi="Times New Roman Regular" w:eastAsia="宋体" w:cs="Times New Roman Regular"/>
                <w:sz w:val="18"/>
                <w:szCs w:val="18"/>
              </w:rPr>
              <w:t>《营养与食品卫生学》 主编 吴坤   人民卫生出版社 2007年</w:t>
            </w:r>
          </w:p>
          <w:p>
            <w:pPr>
              <w:jc w:val="both"/>
              <w:rPr>
                <w:rFonts w:ascii="Times New Roman Regular" w:hAnsi="Times New Roman Regular" w:cs="Times New Roman Regular" w:eastAsiaTheme="majorEastAsia"/>
                <w:color w:val="000000"/>
                <w:sz w:val="20"/>
                <w:szCs w:val="20"/>
              </w:rPr>
            </w:pPr>
            <w:r>
              <w:rPr>
                <w:rFonts w:ascii="Times New Roman Regular" w:hAnsi="Times New Roman Regular" w:eastAsia="宋体" w:cs="Times New Roman Regular"/>
                <w:sz w:val="18"/>
                <w:szCs w:val="18"/>
              </w:rPr>
              <w:t>《中国营养科学全书》 主编 葛可佑 人民卫生出版社 2004年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4227"/>
        <w:gridCol w:w="1328"/>
        <w:gridCol w:w="257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4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</w:pPr>
            <w:r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</w:pPr>
            <w:r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能量与营养素的分类和主要概念及生理作用</w:t>
            </w:r>
          </w:p>
        </w:tc>
        <w:tc>
          <w:tcPr>
            <w:tcW w:w="13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</w:pPr>
            <w:r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</w:pPr>
            <w:r>
              <w:rPr>
                <w:rFonts w:hint="eastAsia"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课前预习、课后复习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</w:pPr>
            <w:r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</w:pPr>
            <w:r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能量与营养素的食物来源和推荐摄入量及评价方法</w:t>
            </w:r>
          </w:p>
        </w:tc>
        <w:tc>
          <w:tcPr>
            <w:tcW w:w="13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</w:pPr>
            <w:r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</w:pPr>
            <w:r>
              <w:rPr>
                <w:rFonts w:hint="eastAsia"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课前预习、课后复习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</w:pPr>
            <w:r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</w:pPr>
            <w:r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膳食结构与营养配餐及食谱编制</w:t>
            </w:r>
          </w:p>
        </w:tc>
        <w:tc>
          <w:tcPr>
            <w:tcW w:w="13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</w:pPr>
            <w:r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</w:pPr>
            <w:r>
              <w:rPr>
                <w:rFonts w:hint="eastAsia"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课前预习、课后复习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</w:pPr>
            <w:r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</w:pPr>
            <w:r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各类人群的营养特点及需求</w:t>
            </w:r>
          </w:p>
        </w:tc>
        <w:tc>
          <w:tcPr>
            <w:tcW w:w="13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</w:pPr>
            <w:r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</w:pPr>
            <w:r>
              <w:rPr>
                <w:rFonts w:hint="eastAsia"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课前预习、课后复习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</w:pPr>
            <w:r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</w:pPr>
            <w:r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营养风险筛查方法与评价工具</w:t>
            </w:r>
          </w:p>
        </w:tc>
        <w:tc>
          <w:tcPr>
            <w:tcW w:w="13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</w:pPr>
            <w:r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</w:pPr>
            <w:r>
              <w:rPr>
                <w:rFonts w:hint="eastAsia"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课前预习、课后复习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</w:pPr>
            <w:r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</w:pPr>
            <w:r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实训一 临床营养风险筛查与评价应用实践</w:t>
            </w:r>
          </w:p>
        </w:tc>
        <w:tc>
          <w:tcPr>
            <w:tcW w:w="13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</w:pPr>
            <w:r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课内实践</w:t>
            </w:r>
          </w:p>
        </w:tc>
        <w:tc>
          <w:tcPr>
            <w:tcW w:w="2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</w:pPr>
            <w:r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完成实践报告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</w:pPr>
            <w:r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4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</w:pPr>
            <w:r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医院膳食的种类、特点及适用范围</w:t>
            </w:r>
          </w:p>
        </w:tc>
        <w:tc>
          <w:tcPr>
            <w:tcW w:w="13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</w:pPr>
            <w:r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</w:pPr>
            <w:r>
              <w:rPr>
                <w:rFonts w:hint="eastAsia"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课前预习、课后复习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</w:pPr>
            <w:r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4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</w:pPr>
            <w:r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实训二  医院膳食的食物选择实践</w:t>
            </w:r>
          </w:p>
        </w:tc>
        <w:tc>
          <w:tcPr>
            <w:tcW w:w="13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</w:pPr>
            <w:r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课内实践</w:t>
            </w:r>
          </w:p>
        </w:tc>
        <w:tc>
          <w:tcPr>
            <w:tcW w:w="2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</w:pPr>
            <w:r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完成实践报告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</w:pPr>
            <w:r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4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</w:pPr>
            <w:r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肠内、外营养的类型及特点</w:t>
            </w:r>
          </w:p>
        </w:tc>
        <w:tc>
          <w:tcPr>
            <w:tcW w:w="13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</w:pPr>
            <w:r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</w:pPr>
            <w:r>
              <w:rPr>
                <w:rFonts w:hint="eastAsia"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课前预习、课后复习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</w:pPr>
            <w:r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4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</w:pPr>
            <w:r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实训三</w:t>
            </w:r>
            <w:r>
              <w:rPr>
                <w:rFonts w:hint="eastAsia"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 xml:space="preserve"> 肠、内外营养的制备及适应症应用实践</w:t>
            </w:r>
          </w:p>
        </w:tc>
        <w:tc>
          <w:tcPr>
            <w:tcW w:w="13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</w:pPr>
            <w:r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课内实践</w:t>
            </w:r>
          </w:p>
        </w:tc>
        <w:tc>
          <w:tcPr>
            <w:tcW w:w="2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</w:pPr>
            <w:r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完成实践报告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</w:pPr>
            <w:r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4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</w:pPr>
            <w:r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营养缺乏性疾病和心脑血管疾病营养治疗和护理</w:t>
            </w:r>
          </w:p>
        </w:tc>
        <w:tc>
          <w:tcPr>
            <w:tcW w:w="13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</w:pPr>
            <w:r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</w:pPr>
            <w:r>
              <w:rPr>
                <w:rFonts w:hint="eastAsia"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课前预习、课后复习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</w:pPr>
            <w:r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4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</w:pPr>
            <w:r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代谢性疾病营养治疗和护理</w:t>
            </w:r>
          </w:p>
        </w:tc>
        <w:tc>
          <w:tcPr>
            <w:tcW w:w="13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</w:pPr>
            <w:r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</w:pPr>
            <w:r>
              <w:rPr>
                <w:rFonts w:hint="eastAsia"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课前预习、课后复习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</w:pPr>
            <w:r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4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</w:pPr>
            <w:r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 xml:space="preserve">实训四 </w:t>
            </w:r>
            <w:r>
              <w:rPr>
                <w:rFonts w:hint="eastAsia"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糖尿病患者的营养治疗与护理实践</w:t>
            </w:r>
          </w:p>
        </w:tc>
        <w:tc>
          <w:tcPr>
            <w:tcW w:w="13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</w:pPr>
            <w:r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案例汇报</w:t>
            </w:r>
          </w:p>
        </w:tc>
        <w:tc>
          <w:tcPr>
            <w:tcW w:w="2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</w:pPr>
            <w:r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完成实践报告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</w:pPr>
            <w:r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4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</w:pPr>
            <w:r>
              <w:rPr>
                <w:rFonts w:hint="eastAsia"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消化系统</w:t>
            </w:r>
            <w:r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疾病营养治疗与护理</w:t>
            </w:r>
          </w:p>
        </w:tc>
        <w:tc>
          <w:tcPr>
            <w:tcW w:w="13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</w:pPr>
            <w:r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</w:pPr>
            <w:r>
              <w:rPr>
                <w:rFonts w:hint="eastAsia"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课前预习、课后复习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</w:pPr>
            <w:r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4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</w:pPr>
            <w:r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泌尿系统疾病营养治疗与护理</w:t>
            </w:r>
          </w:p>
        </w:tc>
        <w:tc>
          <w:tcPr>
            <w:tcW w:w="13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</w:pPr>
            <w:r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</w:pPr>
            <w:r>
              <w:rPr>
                <w:rFonts w:hint="eastAsia"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课前预习、课后复习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</w:pPr>
            <w:r>
              <w:rPr>
                <w:rFonts w:hint="eastAsia"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1</w:t>
            </w:r>
            <w:r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</w:pPr>
            <w:r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外科疾病和恶性肿瘤与危重症营养治疗与护理</w:t>
            </w:r>
          </w:p>
        </w:tc>
        <w:tc>
          <w:tcPr>
            <w:tcW w:w="13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</w:pPr>
            <w:r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</w:pPr>
            <w:r>
              <w:rPr>
                <w:rFonts w:hint="eastAsia"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课前预习、课后复习</w:t>
            </w:r>
          </w:p>
        </w:tc>
      </w:tr>
    </w:tbl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eastAsia="zh-CN"/>
              </w:rPr>
              <w:t>期末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闭卷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eastAsia="zh-CN"/>
              </w:rPr>
              <w:t>考试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X1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eastAsia="宋体" w:cs="宋体"/>
                <w:bCs/>
                <w:color w:val="000000"/>
                <w:sz w:val="21"/>
                <w:szCs w:val="21"/>
              </w:rPr>
              <w:t>出勤率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X2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课堂</w:t>
            </w:r>
            <w:r>
              <w:rPr>
                <w:rFonts w:ascii="宋体" w:hAnsi="宋体" w:eastAsia="宋体" w:cs="宋体"/>
                <w:bCs/>
                <w:color w:val="000000"/>
                <w:sz w:val="21"/>
                <w:szCs w:val="21"/>
              </w:rPr>
              <w:t>表现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X</w:t>
            </w: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课堂小测验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X</w:t>
            </w: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实训报告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0%</w:t>
            </w:r>
          </w:p>
        </w:tc>
      </w:tr>
    </w:tbl>
    <w:p/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备注：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</w:t>
      </w:r>
      <w:r>
        <w:rPr>
          <w:rFonts w:hint="eastAsia" w:ascii="仿宋" w:hAnsi="仿宋" w:eastAsia="仿宋"/>
          <w:color w:val="000000"/>
          <w:position w:val="-20"/>
        </w:rPr>
        <w:t>方式为讲课、实验、讨论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课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习题课、</w:t>
      </w:r>
      <w:r>
        <w:rPr>
          <w:rFonts w:hint="eastAsia" w:ascii="仿宋" w:hAnsi="仿宋" w:eastAsia="仿宋"/>
          <w:color w:val="000000"/>
          <w:position w:val="-20"/>
        </w:rPr>
        <w:t>参观、</w:t>
      </w:r>
      <w:r>
        <w:rPr>
          <w:rFonts w:ascii="仿宋" w:hAnsi="仿宋" w:eastAsia="仿宋"/>
          <w:color w:val="000000"/>
          <w:position w:val="-20"/>
        </w:rPr>
        <w:t>边讲边练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汇报</w:t>
      </w:r>
      <w:r>
        <w:rPr>
          <w:rFonts w:hint="eastAsia" w:ascii="仿宋" w:hAnsi="仿宋" w:eastAsia="仿宋"/>
          <w:color w:val="000000"/>
          <w:position w:val="-20"/>
        </w:rPr>
        <w:t>、考核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等；</w:t>
      </w:r>
    </w:p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hAnsi="仿宋" w:eastAsia="仿宋"/>
          <w:color w:val="000000"/>
          <w:position w:val="-20"/>
          <w:lang w:eastAsia="zh-CN"/>
        </w:rPr>
        <w:t>”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hAnsi="仿宋" w:eastAsia="仿宋"/>
          <w:color w:val="000000"/>
          <w:position w:val="-20"/>
          <w:lang w:eastAsia="zh-CN"/>
        </w:rPr>
        <w:t>）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drawing>
          <wp:inline distT="0" distB="0" distL="114300" distR="114300">
            <wp:extent cx="951865" cy="410845"/>
            <wp:effectExtent l="0" t="0" r="13335" b="20955"/>
            <wp:docPr id="4" name="图片 4" descr="屏幕快照 2020-09-15 下午8.42.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屏幕快照 2020-09-15 下午8.42.4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865" cy="410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eastAsia="等线"/>
          <w:sz w:val="28"/>
          <w:szCs w:val="28"/>
          <w:lang w:eastAsia="zh-CN"/>
        </w:rPr>
        <w:drawing>
          <wp:inline distT="0" distB="0" distL="114300" distR="114300">
            <wp:extent cx="918845" cy="346710"/>
            <wp:effectExtent l="0" t="0" r="0" b="15240"/>
            <wp:docPr id="5" name="图片 1" descr="张雅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张雅丽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18845" cy="34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default" w:ascii="仿宋" w:hAnsi="仿宋" w:eastAsia="仿宋"/>
          <w:color w:val="000000"/>
          <w:position w:val="-20"/>
          <w:sz w:val="28"/>
          <w:szCs w:val="28"/>
        </w:rPr>
        <w:t>202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1</w:t>
      </w:r>
      <w:r>
        <w:rPr>
          <w:rFonts w:hint="default" w:ascii="仿宋" w:hAnsi="仿宋" w:eastAsia="仿宋"/>
          <w:color w:val="000000"/>
          <w:position w:val="-20"/>
          <w:sz w:val="28"/>
          <w:szCs w:val="28"/>
        </w:rPr>
        <w:t>.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9</w:t>
      </w:r>
      <w:r>
        <w:rPr>
          <w:rFonts w:hint="default" w:ascii="仿宋" w:hAnsi="仿宋" w:eastAsia="仿宋"/>
          <w:color w:val="000000"/>
          <w:position w:val="-20"/>
          <w:sz w:val="28"/>
          <w:szCs w:val="28"/>
        </w:rPr>
        <w:t>.3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imes New Roman Regular">
    <w:altName w:val="Times New Roman"/>
    <w:panose1 w:val="02020503050405090304"/>
    <w:charset w:val="00"/>
    <w:family w:val="auto"/>
    <w:pitch w:val="default"/>
    <w:sig w:usb0="00000000" w:usb1="00000000" w:usb2="00000001" w:usb3="00000000" w:csb0="400001BF" w:csb1="DFF7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Segoe Print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DotumChe">
    <w:altName w:val="Malgun Gothic"/>
    <w:panose1 w:val="020B0609000101010101"/>
    <w:charset w:val="81"/>
    <w:family w:val="swiss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4CC6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63F5C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0209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1B29"/>
    <w:rsid w:val="0062514D"/>
    <w:rsid w:val="0062610F"/>
    <w:rsid w:val="00630676"/>
    <w:rsid w:val="00631302"/>
    <w:rsid w:val="0063339D"/>
    <w:rsid w:val="00633B81"/>
    <w:rsid w:val="00635161"/>
    <w:rsid w:val="00637075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7F6538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C54C0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757D6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1F7F1341"/>
    <w:rsid w:val="20A323E8"/>
    <w:rsid w:val="226A2156"/>
    <w:rsid w:val="27DA387B"/>
    <w:rsid w:val="2E59298A"/>
    <w:rsid w:val="37E50B00"/>
    <w:rsid w:val="3AF06763"/>
    <w:rsid w:val="3DEFDE20"/>
    <w:rsid w:val="49DF08B3"/>
    <w:rsid w:val="65310993"/>
    <w:rsid w:val="675991AE"/>
    <w:rsid w:val="6E256335"/>
    <w:rsid w:val="6F2E130E"/>
    <w:rsid w:val="700912C5"/>
    <w:rsid w:val="74F62C86"/>
    <w:rsid w:val="76D7DDDD"/>
    <w:rsid w:val="7BFBF0FB"/>
    <w:rsid w:val="7CFF5836"/>
    <w:rsid w:val="7EFF9ABE"/>
    <w:rsid w:val="7F73C450"/>
    <w:rsid w:val="87EE4E3D"/>
    <w:rsid w:val="ADFA5159"/>
    <w:rsid w:val="B0FBD6CF"/>
    <w:rsid w:val="B7779142"/>
    <w:rsid w:val="BBFBFA30"/>
    <w:rsid w:val="BFEA4B1E"/>
    <w:rsid w:val="C33E8AD0"/>
    <w:rsid w:val="DF5FA8EE"/>
    <w:rsid w:val="E0FE1F95"/>
    <w:rsid w:val="EAFFDCDA"/>
    <w:rsid w:val="F7FAC60A"/>
    <w:rsid w:val="F8CB03AD"/>
    <w:rsid w:val="FBDD4C4E"/>
    <w:rsid w:val="FD7F5C30"/>
    <w:rsid w:val="FDFF4CB0"/>
    <w:rsid w:val="FECFC116"/>
    <w:rsid w:val="FF7E5ABA"/>
    <w:rsid w:val="FFFE0946"/>
    <w:rsid w:val="FFFFA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2</Pages>
  <Words>196</Words>
  <Characters>1119</Characters>
  <Lines>9</Lines>
  <Paragraphs>2</Paragraphs>
  <TotalTime>2</TotalTime>
  <ScaleCrop>false</ScaleCrop>
  <LinksUpToDate>false</LinksUpToDate>
  <CharactersWithSpaces>1313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2015-08-27T20:51:00Z</dcterms:created>
  <dc:creator>*****</dc:creator>
  <cp:lastModifiedBy>Administrator</cp:lastModifiedBy>
  <cp:lastPrinted>2021-09-07T09:11:45Z</cp:lastPrinted>
  <dcterms:modified xsi:type="dcterms:W3CDTF">2021-09-07T09:12:39Z</dcterms:modified>
  <dc:title>上海建桥学院教学进度计划表</dc:title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AF2B19EE2EF34FF9A6CD443A1A889AB2</vt:lpwstr>
  </property>
</Properties>
</file>