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sz w:val="32"/>
          <w:szCs w:val="32"/>
          <w:lang w:eastAsia="zh-CN"/>
        </w:rPr>
      </w:pPr>
      <w:r>
        <w:rPr>
          <w:rFonts w:hint="eastAsia" w:ascii="黑体" w:hAnsi="黑体" w:eastAsia="黑体"/>
          <w:b w:val="0"/>
          <w:bCs/>
          <w:sz w:val="32"/>
          <w:szCs w:val="32"/>
        </w:rPr>
        <w:t>《</w:t>
      </w:r>
      <w:r>
        <w:rPr>
          <w:rFonts w:hint="eastAsia" w:ascii="黑体" w:hAnsi="黑体" w:eastAsia="黑体"/>
          <w:b w:val="0"/>
          <w:bCs/>
          <w:color w:val="auto"/>
          <w:sz w:val="32"/>
          <w:szCs w:val="32"/>
          <w:lang w:val="en-US" w:eastAsia="zh-Hans"/>
        </w:rPr>
        <w:t>精神科护理学</w:t>
      </w:r>
      <w:r>
        <w:rPr>
          <w:rFonts w:hint="eastAsia" w:ascii="黑体" w:hAnsi="黑体" w:eastAsia="黑体"/>
          <w:b w:val="0"/>
          <w:bCs/>
          <w:sz w:val="32"/>
          <w:szCs w:val="32"/>
        </w:rPr>
        <w:t>》本科课程教学大纲</w:t>
      </w:r>
    </w:p>
    <w:p>
      <w:pPr>
        <w:jc w:val="left"/>
        <w:rPr>
          <w:rFonts w:hint="eastAsia" w:ascii="黑体" w:hAnsi="黑体" w:eastAsia="黑体" w:cs="黑体"/>
          <w:b w:val="0"/>
          <w:bCs/>
          <w:sz w:val="28"/>
          <w:szCs w:val="28"/>
        </w:rPr>
      </w:pPr>
      <w:r>
        <w:rPr>
          <w:rFonts w:hint="eastAsia" w:ascii="黑体" w:hAnsi="黑体" w:eastAsia="黑体" w:cs="黑体"/>
          <w:b w:val="0"/>
          <w:bCs/>
          <w:sz w:val="28"/>
          <w:szCs w:val="28"/>
        </w:rPr>
        <w:t>一、课程基本信息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精神科护理学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color w:val="000000" w:themeColor="text1"/>
                <w:sz w:val="21"/>
                <w:szCs w:val="21"/>
                <w:lang w:eastAsia="zh-CN"/>
                <w14:textFill>
                  <w14:solidFill>
                    <w14:schemeClr w14:val="tx1"/>
                  </w14:solidFill>
                </w14:textFill>
              </w:rPr>
              <w:t>P</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 xml:space="preserve">sychiatric </w:t>
            </w:r>
            <w:r>
              <w:rPr>
                <w:rFonts w:hint="default" w:ascii="Times New Roman Regular" w:hAnsi="Times New Roman Regular" w:cs="Times New Roman Regular"/>
                <w:color w:val="000000" w:themeColor="text1"/>
                <w:sz w:val="21"/>
                <w:szCs w:val="21"/>
                <w:lang w:eastAsia="zh-CN"/>
                <w14:textFill>
                  <w14:solidFill>
                    <w14:schemeClr w14:val="tx1"/>
                  </w14:solidFill>
                </w14:textFill>
              </w:rPr>
              <w:t>N</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2070026 </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护理学B </w:t>
            </w:r>
            <w:r>
              <w:rPr>
                <w:rFonts w:hint="default" w:ascii="Times New Roman" w:hAnsi="Times New Roman" w:cs="Times New Roman"/>
                <w:color w:val="000000" w:themeColor="text1"/>
                <w:sz w:val="21"/>
                <w:szCs w:val="21"/>
                <w:lang w:val="en-US"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专业课程、专业必修课</w:t>
            </w:r>
          </w:p>
        </w:tc>
        <w:tc>
          <w:tcPr>
            <w:tcW w:w="2126" w:type="dxa"/>
            <w:gridSpan w:val="2"/>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s="宋体"/>
                <w:color w:val="000000" w:themeColor="text1"/>
                <w:sz w:val="21"/>
                <w:szCs w:val="21"/>
                <w:lang w:val="en-US" w:eastAsia="zh-Hans" w:bidi="ar-SA"/>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ind w:left="210" w:hanging="210" w:hangingChars="10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精神科护理学</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刘哲宁</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杨芳宇</w:t>
            </w:r>
            <w:r>
              <w:rPr>
                <w:rFonts w:hint="eastAsia" w:ascii="Times New Roman" w:hAnsi="Times New Roman"/>
                <w:color w:val="000000" w:themeColor="text1"/>
                <w:sz w:val="21"/>
                <w:szCs w:val="21"/>
                <w:lang w:val="en-US" w:eastAsia="zh-CN"/>
                <w14:textFill>
                  <w14:solidFill>
                    <w14:schemeClr w14:val="tx1"/>
                  </w14:solidFill>
                </w14:textFill>
              </w:rPr>
              <w:t xml:space="preserve"> 97871173</w:t>
            </w:r>
            <w:r>
              <w:rPr>
                <w:rFonts w:hint="default" w:ascii="Times New Roman" w:hAnsi="Times New Roman"/>
                <w:color w:val="000000" w:themeColor="text1"/>
                <w:sz w:val="21"/>
                <w:szCs w:val="21"/>
                <w:lang w:eastAsia="zh-CN"/>
                <w14:textFill>
                  <w14:solidFill>
                    <w14:schemeClr w14:val="tx1"/>
                  </w14:solidFill>
                </w14:textFill>
              </w:rPr>
              <w:t>31449</w:t>
            </w:r>
          </w:p>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人民卫生出版社 第</w:t>
            </w:r>
            <w:r>
              <w:rPr>
                <w:rFonts w:hint="default" w:ascii="Times New Roman" w:hAnsi="Times New Roman"/>
                <w:color w:val="000000" w:themeColor="text1"/>
                <w:sz w:val="21"/>
                <w:szCs w:val="21"/>
                <w:lang w:eastAsia="zh-CN"/>
                <w14:textFill>
                  <w14:solidFill>
                    <w14:schemeClr w14:val="tx1"/>
                  </w14:solidFill>
                </w14:textFill>
              </w:rPr>
              <w:t>5</w:t>
            </w:r>
            <w:r>
              <w:rPr>
                <w:rFonts w:hint="eastAsia" w:ascii="Times New Roman" w:hAnsi="Times New Roman"/>
                <w:color w:val="000000" w:themeColor="text1"/>
                <w:sz w:val="21"/>
                <w:szCs w:val="21"/>
                <w:lang w:val="en-US" w:eastAsia="zh-CN"/>
                <w14:textFill>
                  <w14:solidFill>
                    <w14:schemeClr w14:val="tx1"/>
                  </w14:solidFill>
                </w14:textFill>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Hans"/>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人体解剖学</w:t>
            </w:r>
            <w:r>
              <w:t>A 010001（</w:t>
            </w:r>
            <w:r>
              <w:rPr>
                <w:rFonts w:hint="eastAsia"/>
              </w:rPr>
              <w:t>6</w:t>
            </w:r>
            <w:r>
              <w:t>）</w:t>
            </w:r>
            <w:r>
              <w:rPr>
                <w:rFonts w:hint="eastAsia"/>
              </w:rPr>
              <w:t>，生理学</w:t>
            </w:r>
            <w:r>
              <w:t>A 010001（</w:t>
            </w:r>
            <w:r>
              <w:rPr>
                <w:rFonts w:hint="eastAsia"/>
              </w:rPr>
              <w:t>4</w:t>
            </w:r>
            <w:r>
              <w:t>）</w:t>
            </w:r>
            <w:r>
              <w:rPr>
                <w:rFonts w:hint="eastAsia"/>
              </w:rPr>
              <w:t>，病理学与病理生理学A 010001（3），药理学</w:t>
            </w:r>
            <w:r>
              <w:t>A 010001（</w:t>
            </w:r>
            <w:r>
              <w:rPr>
                <w:rFonts w:hint="eastAsia"/>
              </w:rPr>
              <w:t>3</w:t>
            </w:r>
            <w:r>
              <w:t>）</w:t>
            </w:r>
            <w:r>
              <w:rPr>
                <w:rFonts w:hint="eastAsia"/>
              </w:rPr>
              <w:t>，护士人文修养</w:t>
            </w:r>
            <w:r>
              <w:t>A 010001（</w:t>
            </w:r>
            <w:r>
              <w:rPr>
                <w:rFonts w:hint="eastAsia"/>
              </w:rPr>
              <w:t>1.5</w:t>
            </w:r>
            <w:r>
              <w:t>）</w:t>
            </w:r>
            <w:r>
              <w:rPr>
                <w:rFonts w:hint="eastAsia"/>
              </w:rPr>
              <w:t>，护理伦理学</w:t>
            </w:r>
            <w:r>
              <w:t>A 010001（</w:t>
            </w:r>
            <w:r>
              <w:rPr>
                <w:rFonts w:hint="eastAsia"/>
              </w:rPr>
              <w:t>1</w:t>
            </w:r>
            <w:r>
              <w:t>）</w:t>
            </w:r>
            <w:r>
              <w:rPr>
                <w:rFonts w:hint="eastAsia"/>
              </w:rPr>
              <w:t>，护理心理学</w:t>
            </w:r>
            <w:r>
              <w:t>A 010001（</w:t>
            </w:r>
            <w:r>
              <w:rPr>
                <w:rFonts w:hint="eastAsia"/>
              </w:rPr>
              <w:t>1.5</w:t>
            </w:r>
            <w:r>
              <w:t>）</w:t>
            </w:r>
            <w:r>
              <w:rPr>
                <w:rFonts w:hint="eastAsia"/>
              </w:rPr>
              <w:t>，基础护理学1</w:t>
            </w:r>
            <w:r>
              <w:t>A 010001（</w:t>
            </w:r>
            <w:r>
              <w:rPr>
                <w:rFonts w:hint="eastAsia"/>
              </w:rPr>
              <w:t>4</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40" w:lineRule="auto"/>
              <w:ind w:firstLine="420" w:firstLineChars="200"/>
              <w:jc w:val="both"/>
              <w:rPr>
                <w:color w:val="000000"/>
                <w:sz w:val="21"/>
                <w:szCs w:val="21"/>
              </w:rPr>
            </w:pPr>
            <w:r>
              <w:rPr>
                <w:rFonts w:hint="eastAsia"/>
                <w:color w:val="000000"/>
                <w:sz w:val="21"/>
                <w:szCs w:val="21"/>
              </w:rPr>
              <w:t>《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pPr>
              <w:widowControl w:val="0"/>
              <w:snapToGrid w:val="0"/>
              <w:spacing w:line="240" w:lineRule="auto"/>
              <w:ind w:firstLine="420" w:firstLineChars="200"/>
              <w:jc w:val="both"/>
              <w:rPr>
                <w:rFonts w:hint="eastAsia"/>
                <w:color w:val="000000"/>
                <w:sz w:val="20"/>
                <w:szCs w:val="20"/>
              </w:rPr>
            </w:pPr>
            <w:r>
              <w:rPr>
                <w:rFonts w:hint="eastAsia"/>
                <w:color w:val="000000"/>
                <w:sz w:val="21"/>
                <w:szCs w:val="21"/>
              </w:rPr>
              <w:t>通过本课程的学习，使学生具备解决临床实际问题的能力。熟练运用精神科护理的基本技能和方法，精神疾病的防治和护理的基本相关知识。严格执行精神疾病患者的科学管理方法和制度。为今后从事临床精神科护理以及整体护理并且向精神疾病患者及普通民众提供护理服务打下良好的专业基础。并在教学中渗透思想教育、逐步培养学生的辨证和创造性思维，增强学生的职业道德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40" w:lineRule="auto"/>
              <w:ind w:firstLine="420" w:firstLineChars="200"/>
              <w:jc w:val="both"/>
            </w:pPr>
            <w:r>
              <w:rPr>
                <w:color w:val="000000"/>
                <w:sz w:val="21"/>
                <w:szCs w:val="21"/>
              </w:rPr>
              <w:t>该课程适合</w:t>
            </w:r>
            <w:r>
              <w:rPr>
                <w:rFonts w:hint="eastAsia"/>
                <w:color w:val="000000"/>
                <w:sz w:val="21"/>
                <w:szCs w:val="21"/>
              </w:rPr>
              <w:t>于护理学本科</w:t>
            </w:r>
            <w:r>
              <w:rPr>
                <w:color w:val="000000"/>
                <w:sz w:val="21"/>
                <w:szCs w:val="21"/>
              </w:rPr>
              <w:t>专业、</w:t>
            </w:r>
            <w:r>
              <w:rPr>
                <w:rFonts w:hint="eastAsia"/>
                <w:color w:val="000000"/>
                <w:sz w:val="21"/>
                <w:szCs w:val="21"/>
              </w:rPr>
              <w:t>三</w:t>
            </w:r>
            <w:r>
              <w:rPr>
                <w:color w:val="000000"/>
                <w:sz w:val="21"/>
                <w:szCs w:val="21"/>
              </w:rPr>
              <w:t>年级</w:t>
            </w:r>
            <w:r>
              <w:rPr>
                <w:rFonts w:hint="eastAsia"/>
                <w:color w:val="000000"/>
                <w:sz w:val="21"/>
                <w:szCs w:val="21"/>
              </w:rPr>
              <w:t>上学期开设</w:t>
            </w:r>
            <w:r>
              <w:rPr>
                <w:color w:val="000000"/>
                <w:sz w:val="21"/>
                <w:szCs w:val="21"/>
              </w:rPr>
              <w:t>、</w:t>
            </w:r>
            <w:r>
              <w:rPr>
                <w:rFonts w:hint="eastAsia"/>
                <w:color w:val="000000"/>
                <w:sz w:val="21"/>
                <w:szCs w:val="21"/>
              </w:rPr>
              <w:t>学生需要对专业有一定的认识，并初步具有一定的职业情感</w:t>
            </w: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57225" cy="283210"/>
                  <wp:effectExtent l="0" t="0" r="3175" b="2159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657225" cy="28321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ascii="宋体" w:hAnsi="宋体"/>
                <w:bCs/>
              </w:rPr>
            </w:pPr>
            <w:r>
              <w:rPr>
                <w:rFonts w:hint="eastAsia" w:ascii="宋体" w:hAnsi="宋体"/>
                <w:bCs/>
              </w:rPr>
              <w:t>描述不同护理对象的基本心理需要及常见临床心理问题的评估和干预方法。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ascii="宋体" w:hAnsi="宋体"/>
                <w:bCs/>
              </w:rPr>
            </w:pPr>
            <w:r>
              <w:rPr>
                <w:rFonts w:hint="eastAsia" w:ascii="宋体" w:hAnsi="宋体"/>
                <w:bCs/>
              </w:rPr>
              <w:t>理解并阐述不同人群卫生保健的知识和方法，包括健康教育、疾病预防、疾病康复和临终关怀的有关知识。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ascii="宋体" w:hAnsi="宋体"/>
                <w:bCs/>
              </w:rPr>
            </w:pPr>
            <w:r>
              <w:rPr>
                <w:rFonts w:hint="eastAsia" w:ascii="宋体" w:hAnsi="宋体"/>
                <w:bCs/>
              </w:rPr>
              <w:t>具有运用多学科知识进行护理评估、制定护理计划及对护理对象实施整体护理的基本能力。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pStyle w:val="14"/>
              <w:jc w:val="left"/>
              <w:rPr>
                <w:rFonts w:ascii="宋体" w:hAnsi="宋体"/>
                <w:bCs/>
              </w:rPr>
            </w:pPr>
            <w:r>
              <w:rPr>
                <w:rFonts w:hint="eastAsia" w:ascii="宋体" w:hAnsi="宋体"/>
                <w:bCs/>
              </w:rPr>
              <w:t>应用基础护理技术、急救护理技术、专科护理基本技术和具有配合实施常用诊疗技术的能力。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pStyle w:val="14"/>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rPr>
            </w:pPr>
            <w:r>
              <w:rPr>
                <w:rFonts w:hint="default" w:ascii="Arial" w:hAnsi="Arial" w:eastAsia="黑体" w:cs="Arial"/>
                <w:bCs/>
                <w:color w:val="000000"/>
                <w:sz w:val="21"/>
                <w:szCs w:val="18"/>
              </w:rPr>
              <w:t>5</w:t>
            </w:r>
          </w:p>
        </w:tc>
        <w:tc>
          <w:tcPr>
            <w:tcW w:w="6459" w:type="dxa"/>
            <w:vAlign w:val="center"/>
          </w:tcPr>
          <w:p>
            <w:pPr>
              <w:pStyle w:val="14"/>
              <w:jc w:val="left"/>
              <w:rPr>
                <w:rFonts w:hint="eastAsia" w:ascii="宋体" w:hAnsi="宋体"/>
                <w:bCs/>
              </w:rPr>
            </w:pPr>
            <w:r>
              <w:rPr>
                <w:rFonts w:hint="eastAsia" w:ascii="宋体" w:hAnsi="宋体"/>
              </w:rPr>
              <w:t>根据需要查阅</w:t>
            </w:r>
            <w:r>
              <w:rPr>
                <w:rFonts w:hint="eastAsia" w:ascii="宋体" w:hAnsi="宋体"/>
                <w:lang w:val="en-US" w:eastAsia="zh-Hans"/>
              </w:rPr>
              <w:t>精神</w:t>
            </w:r>
            <w:r>
              <w:rPr>
                <w:rFonts w:hint="eastAsia" w:ascii="宋体" w:hAnsi="宋体"/>
              </w:rPr>
              <w:t>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pPr>
              <w:pStyle w:val="14"/>
              <w:jc w:val="left"/>
              <w:rPr>
                <w:rFonts w:hint="eastAsia" w:ascii="宋体" w:hAnsi="宋体"/>
                <w:bCs/>
              </w:rPr>
            </w:pPr>
            <w:r>
              <w:rPr>
                <w:rFonts w:hint="eastAsia" w:ascii="宋体" w:hAnsi="宋体"/>
                <w:bCs/>
              </w:rPr>
              <w:t>尊重护理对象的价值观、文化习俗，全心全意为护理对象的健康服务;阐述影响健康与疾病生物、心理、社会因素及其评估和干预方法。</w:t>
            </w:r>
          </w:p>
          <w:p>
            <w:pPr>
              <w:pStyle w:val="14"/>
              <w:jc w:val="left"/>
              <w:rPr>
                <w:rFonts w:ascii="宋体" w:hAnsi="宋体"/>
                <w:bCs/>
              </w:rPr>
            </w:pPr>
          </w:p>
        </w:tc>
      </w:tr>
    </w:tbl>
    <w:p>
      <w:pPr>
        <w:pStyle w:val="17"/>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2</w:t>
            </w:r>
            <w:r>
              <w:rPr>
                <w:rFonts w:ascii="宋体" w:hAnsi="宋体"/>
              </w:rPr>
              <w:t>专业能力：具有人文科学素养，具备从事护理工作或专业的理论知识、实践能力。</w:t>
            </w:r>
          </w:p>
          <w:p>
            <w:pPr>
              <w:pStyle w:val="14"/>
              <w:widowControl w:val="0"/>
              <w:jc w:val="left"/>
              <w:rPr>
                <w:rFonts w:ascii="宋体" w:hAnsi="宋体"/>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3</w:t>
            </w:r>
            <w:r>
              <w:rPr>
                <w:rFonts w:ascii="宋体" w:hAnsi="宋体"/>
              </w:rPr>
              <w:t>表达沟通：理解他人的观点，尊重他人的价值观，能在不同场合用书面或口头形式进行有效沟通。</w:t>
            </w:r>
          </w:p>
          <w:p>
            <w:pPr>
              <w:pStyle w:val="14"/>
              <w:widowControl w:val="0"/>
              <w:jc w:val="left"/>
              <w:rPr>
                <w:rFonts w:ascii="宋体" w:hAnsi="宋体"/>
              </w:rPr>
            </w:pPr>
            <w:r>
              <w:rPr>
                <w:rFonts w:ascii="宋体" w:hAnsi="宋体"/>
              </w:rPr>
              <w:t>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pPr>
              <w:pStyle w:val="14"/>
              <w:widowControl w:val="0"/>
              <w:jc w:val="left"/>
              <w:rPr>
                <w:rFonts w:ascii="宋体" w:hAnsi="宋体"/>
              </w:rPr>
            </w:pPr>
            <w:r>
              <w:rPr>
                <w:rFonts w:ascii="宋体" w:hAnsi="宋体"/>
              </w:rPr>
              <w:t>②能搜集、获取达到目标所需要的学习资源，实施学习计划、反思学习计划、持续改进，达到学习目标。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pPr>
              <w:pStyle w:val="14"/>
              <w:widowControl w:val="0"/>
              <w:jc w:val="left"/>
              <w:rPr>
                <w:rFonts w:ascii="宋体" w:hAnsi="宋体"/>
              </w:rPr>
            </w:pPr>
            <w:r>
              <w:rPr>
                <w:rFonts w:ascii="宋体" w:hAnsi="宋体"/>
              </w:rPr>
              <w:t>①在集体活动中能主动担任自己的角色，与其他成员密切合作，善于自我管理和团队管理，共同完成任务。</w:t>
            </w:r>
          </w:p>
        </w:tc>
      </w:tr>
    </w:tbl>
    <w:p>
      <w:pPr>
        <w:pStyle w:val="17"/>
        <w:numPr>
          <w:ilvl w:val="0"/>
          <w:numId w:val="1"/>
        </w:numPr>
        <w:spacing w:before="163" w:beforeLines="50" w:after="163"/>
        <w:rPr>
          <w:rFonts w:hint="eastAsia"/>
        </w:rPr>
      </w:pPr>
      <w:r>
        <w:rPr>
          <w:rFonts w:hint="eastAsia"/>
        </w:rPr>
        <w:t xml:space="preserve">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O1</w:t>
            </w:r>
          </w:p>
        </w:tc>
        <w:tc>
          <w:tcPr>
            <w:tcW w:w="794"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⑤</w:t>
            </w:r>
          </w:p>
        </w:tc>
        <w:tc>
          <w:tcPr>
            <w:tcW w:w="794" w:type="dxa"/>
            <w:tcBorders>
              <w:right w:val="double" w:color="auto" w:sz="4" w:space="0"/>
            </w:tcBorders>
            <w:shd w:val="clear" w:color="auto" w:fill="auto"/>
            <w:vAlign w:val="center"/>
          </w:tcPr>
          <w:p>
            <w:pPr>
              <w:pStyle w:val="14"/>
              <w:rPr>
                <w:rFonts w:ascii="宋体" w:hAnsi="宋体"/>
              </w:rPr>
            </w:pPr>
            <w:r>
              <w:rPr>
                <w:rFonts w:ascii="宋体" w:hAnsi="宋体"/>
              </w:rPr>
              <w:t>H</w:t>
            </w:r>
          </w:p>
        </w:tc>
        <w:tc>
          <w:tcPr>
            <w:tcW w:w="4763" w:type="dxa"/>
            <w:vAlign w:val="center"/>
          </w:tcPr>
          <w:p>
            <w:pPr>
              <w:pStyle w:val="14"/>
              <w:jc w:val="left"/>
              <w:rPr>
                <w:rFonts w:ascii="宋体" w:hAnsi="宋体" w:eastAsia="宋体" w:cs="宋体"/>
                <w:bCs/>
                <w:color w:val="000000"/>
                <w:sz w:val="21"/>
                <w:szCs w:val="21"/>
                <w:lang w:val="en-US" w:eastAsia="zh-CN" w:bidi="ar-SA"/>
              </w:rPr>
            </w:pPr>
            <w:r>
              <w:rPr>
                <w:rFonts w:hint="default" w:ascii="宋体" w:hAnsi="宋体"/>
                <w:bCs/>
              </w:rPr>
              <w:t>6.</w:t>
            </w:r>
            <w:r>
              <w:rPr>
                <w:rFonts w:hint="eastAsia" w:ascii="宋体" w:hAnsi="宋体"/>
                <w:bCs/>
              </w:rPr>
              <w:t>尊重护理对象的价值观、文化习俗，全心全意为护理对象的健康服务;阐述影响健康与疾病生物、心理、社会因素及其评估和干预方法。</w:t>
            </w:r>
          </w:p>
        </w:tc>
        <w:tc>
          <w:tcPr>
            <w:tcW w:w="1348"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O2</w:t>
            </w:r>
          </w:p>
        </w:tc>
        <w:tc>
          <w:tcPr>
            <w:tcW w:w="794" w:type="dxa"/>
            <w:vMerge w:val="restart"/>
            <w:tcBorders>
              <w:left w:val="single" w:color="auto" w:sz="4" w:space="0"/>
            </w:tcBorders>
            <w:vAlign w:val="center"/>
          </w:tcPr>
          <w:p>
            <w:pPr>
              <w:pStyle w:val="14"/>
              <w:numPr>
                <w:ilvl w:val="0"/>
                <w:numId w:val="2"/>
              </w:numPr>
              <w:rPr>
                <w:rFonts w:ascii="宋体" w:hAnsi="宋体" w:cs="Times New Roman"/>
                <w:bCs/>
              </w:rPr>
            </w:pP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default" w:ascii="宋体" w:hAnsi="宋体"/>
                <w:bCs/>
              </w:rPr>
              <w:t>1.</w:t>
            </w:r>
            <w:r>
              <w:rPr>
                <w:rFonts w:hint="eastAsia" w:ascii="宋体" w:hAnsi="宋体"/>
                <w:bCs/>
              </w:rPr>
              <w:t>描述不同护理对象的基本心理需要及常见临床心理问题的评估和干预方法。</w:t>
            </w:r>
          </w:p>
        </w:tc>
        <w:tc>
          <w:tcPr>
            <w:tcW w:w="1348" w:type="dxa"/>
            <w:tcBorders>
              <w:right w:val="single" w:color="auto" w:sz="12" w:space="0"/>
            </w:tcBorders>
            <w:vAlign w:val="center"/>
          </w:tcPr>
          <w:p>
            <w:pPr>
              <w:pStyle w:val="14"/>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default" w:ascii="宋体" w:hAnsi="宋体"/>
                <w:bCs/>
              </w:rPr>
              <w:t>3.</w:t>
            </w:r>
            <w:r>
              <w:rPr>
                <w:rFonts w:hint="eastAsia" w:ascii="宋体" w:hAnsi="宋体"/>
                <w:bCs/>
              </w:rPr>
              <w:t>具有运用多学科知识进行护理评估、制定护理计划及对护理对象实施整体护理的基本能力。</w:t>
            </w:r>
          </w:p>
        </w:tc>
        <w:tc>
          <w:tcPr>
            <w:tcW w:w="1348" w:type="dxa"/>
            <w:tcBorders>
              <w:right w:val="single" w:color="auto" w:sz="12" w:space="0"/>
            </w:tcBorders>
            <w:vAlign w:val="center"/>
          </w:tcPr>
          <w:p>
            <w:pPr>
              <w:pStyle w:val="14"/>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O3</w:t>
            </w:r>
          </w:p>
        </w:tc>
        <w:tc>
          <w:tcPr>
            <w:tcW w:w="794"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①</w:t>
            </w:r>
          </w:p>
        </w:tc>
        <w:tc>
          <w:tcPr>
            <w:tcW w:w="794" w:type="dxa"/>
            <w:tcBorders>
              <w:right w:val="double" w:color="auto" w:sz="4" w:space="0"/>
            </w:tcBorders>
            <w:shd w:val="clear" w:color="auto" w:fill="auto"/>
            <w:vAlign w:val="center"/>
          </w:tcPr>
          <w:p>
            <w:pPr>
              <w:pStyle w:val="14"/>
              <w:rPr>
                <w:rFonts w:ascii="宋体" w:hAnsi="宋体"/>
              </w:rPr>
            </w:pPr>
            <w:r>
              <w:rPr>
                <w:rFonts w:ascii="宋体" w:hAnsi="宋体"/>
              </w:rPr>
              <w:t>H</w:t>
            </w:r>
          </w:p>
        </w:tc>
        <w:tc>
          <w:tcPr>
            <w:tcW w:w="4763" w:type="dxa"/>
            <w:vAlign w:val="center"/>
          </w:tcPr>
          <w:p>
            <w:pPr>
              <w:pStyle w:val="14"/>
              <w:jc w:val="left"/>
              <w:rPr>
                <w:rFonts w:ascii="宋体" w:hAnsi="宋体"/>
                <w:bCs/>
              </w:rPr>
            </w:pPr>
            <w:r>
              <w:rPr>
                <w:rFonts w:hint="default" w:ascii="宋体" w:hAnsi="宋体"/>
                <w:bCs/>
              </w:rPr>
              <w:t>2.</w:t>
            </w:r>
            <w:r>
              <w:rPr>
                <w:rFonts w:hint="eastAsia" w:ascii="宋体" w:hAnsi="宋体"/>
                <w:bCs/>
              </w:rPr>
              <w:t>理解并阐述不同人群卫生保健的知识和方法，包括健康教育、疾病预防、疾病康复和临终关怀的有关知识。</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O4</w:t>
            </w:r>
          </w:p>
        </w:tc>
        <w:tc>
          <w:tcPr>
            <w:tcW w:w="794"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L</w:t>
            </w:r>
          </w:p>
        </w:tc>
        <w:tc>
          <w:tcPr>
            <w:tcW w:w="4763" w:type="dxa"/>
            <w:vAlign w:val="center"/>
          </w:tcPr>
          <w:p>
            <w:pPr>
              <w:pStyle w:val="14"/>
              <w:jc w:val="left"/>
              <w:rPr>
                <w:rFonts w:ascii="宋体" w:hAnsi="宋体"/>
                <w:bCs/>
              </w:rPr>
            </w:pPr>
            <w:r>
              <w:rPr>
                <w:rFonts w:ascii="宋体" w:hAnsi="宋体"/>
              </w:rPr>
              <w:t>5.</w:t>
            </w: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c>
          <w:tcPr>
            <w:tcW w:w="1348" w:type="dxa"/>
            <w:tcBorders>
              <w:right w:val="single" w:color="auto" w:sz="12" w:space="0"/>
            </w:tcBorders>
            <w:vAlign w:val="center"/>
          </w:tcPr>
          <w:p>
            <w:pPr>
              <w:pStyle w:val="14"/>
              <w:rPr>
                <w:rFonts w:ascii="宋体" w:hAnsi="宋体"/>
                <w:bCs/>
              </w:rPr>
            </w:pPr>
            <w:r>
              <w:rPr>
                <w:rFonts w:hint="default" w:ascii="宋体" w:hAnsi="宋体"/>
                <w:bCs/>
              </w:rPr>
              <w:t>10</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O6</w:t>
            </w:r>
          </w:p>
        </w:tc>
        <w:tc>
          <w:tcPr>
            <w:tcW w:w="794" w:type="dxa"/>
            <w:tcBorders>
              <w:left w:val="single" w:color="auto" w:sz="4" w:space="0"/>
              <w:bottom w:val="single" w:color="auto" w:sz="12" w:space="0"/>
            </w:tcBorders>
            <w:vAlign w:val="center"/>
          </w:tcPr>
          <w:p>
            <w:pPr>
              <w:pStyle w:val="14"/>
              <w:rPr>
                <w:rFonts w:ascii="宋体" w:hAnsi="宋体" w:cs="Times New Roman"/>
                <w:bCs/>
              </w:rPr>
            </w:pPr>
            <w:r>
              <w:rPr>
                <w:rFonts w:hint="eastAsia" w:ascii="宋体" w:hAnsi="宋体" w:cs="Times New Roman"/>
                <w:bCs/>
              </w:rPr>
              <w:t>①</w:t>
            </w:r>
          </w:p>
        </w:tc>
        <w:tc>
          <w:tcPr>
            <w:tcW w:w="794" w:type="dxa"/>
            <w:tcBorders>
              <w:bottom w:val="single" w:color="auto" w:sz="12" w:space="0"/>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763" w:type="dxa"/>
            <w:tcBorders>
              <w:bottom w:val="single" w:color="auto" w:sz="12" w:space="0"/>
            </w:tcBorders>
            <w:vAlign w:val="center"/>
          </w:tcPr>
          <w:p>
            <w:pPr>
              <w:pStyle w:val="14"/>
              <w:jc w:val="left"/>
              <w:rPr>
                <w:rFonts w:ascii="宋体" w:hAnsi="宋体"/>
                <w:bCs/>
              </w:rPr>
            </w:pPr>
            <w:r>
              <w:rPr>
                <w:rFonts w:hint="default" w:ascii="宋体" w:hAnsi="宋体"/>
                <w:bCs/>
              </w:rPr>
              <w:t>4.</w:t>
            </w:r>
            <w:r>
              <w:rPr>
                <w:rFonts w:hint="eastAsia" w:ascii="宋体" w:hAnsi="宋体"/>
                <w:bCs/>
              </w:rPr>
              <w:t>应用基础护理技术、急救护理技术、专科护理基本技术和具有配合实施常用诊疗技术的能力。</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rPr>
          <w:rFonts w:hint="eastAsia"/>
        </w:rPr>
      </w:pPr>
      <w:r>
        <w:rPr>
          <w:rFonts w:hint="eastAsia"/>
        </w:rPr>
        <w:t>（一）各教学单元预期学习成果与教学内容</w:t>
      </w:r>
    </w:p>
    <w:tbl>
      <w:tblPr>
        <w:tblStyle w:val="10"/>
        <w:tblW w:w="8677" w:type="dxa"/>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0" w:type="dxa"/>
          <w:left w:w="108" w:type="dxa"/>
          <w:bottom w:w="0" w:type="dxa"/>
          <w:right w:w="108" w:type="dxa"/>
        </w:tblCellMar>
      </w:tblPr>
      <w:tblGrid>
        <w:gridCol w:w="520"/>
        <w:gridCol w:w="1212"/>
        <w:gridCol w:w="1977"/>
        <w:gridCol w:w="1540"/>
        <w:gridCol w:w="1885"/>
        <w:gridCol w:w="1543"/>
      </w:tblGrid>
      <w:tr>
        <w:trPr>
          <w:trHeight w:val="341" w:hRule="atLeast"/>
        </w:trPr>
        <w:tc>
          <w:tcPr>
            <w:tcW w:w="520" w:type="dxa"/>
            <w:vAlign w:val="center"/>
          </w:tcPr>
          <w:p>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序号</w:t>
            </w:r>
          </w:p>
        </w:tc>
        <w:tc>
          <w:tcPr>
            <w:tcW w:w="1212" w:type="dxa"/>
          </w:tcPr>
          <w:p>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单元名称</w:t>
            </w:r>
          </w:p>
        </w:tc>
        <w:tc>
          <w:tcPr>
            <w:tcW w:w="1977" w:type="dxa"/>
          </w:tcPr>
          <w:p>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知识目标</w:t>
            </w:r>
          </w:p>
        </w:tc>
        <w:tc>
          <w:tcPr>
            <w:tcW w:w="1540" w:type="dxa"/>
          </w:tcPr>
          <w:p>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能力目标</w:t>
            </w:r>
          </w:p>
        </w:tc>
        <w:tc>
          <w:tcPr>
            <w:tcW w:w="1885" w:type="dxa"/>
          </w:tcPr>
          <w:p>
            <w:pPr>
              <w:widowControl w:val="0"/>
              <w:snapToGrid w:val="0"/>
              <w:spacing w:line="288" w:lineRule="auto"/>
              <w:jc w:val="center"/>
              <w:rPr>
                <w:rFonts w:ascii="宋体" w:hAnsi="宋体" w:eastAsia="宋体" w:cs="宋体"/>
                <w:b/>
                <w:color w:val="000000"/>
                <w:sz w:val="20"/>
                <w:szCs w:val="20"/>
                <w:lang w:val="en-US" w:eastAsia="zh-CN" w:bidi="ar-SA"/>
              </w:rPr>
            </w:pPr>
            <w:r>
              <w:rPr>
                <w:rFonts w:hint="eastAsia" w:ascii="宋体" w:hAnsi="宋体"/>
                <w:b/>
                <w:color w:val="000000"/>
                <w:sz w:val="20"/>
                <w:szCs w:val="20"/>
              </w:rPr>
              <w:t>情感目标</w:t>
            </w:r>
          </w:p>
        </w:tc>
        <w:tc>
          <w:tcPr>
            <w:tcW w:w="1543" w:type="dxa"/>
          </w:tcPr>
          <w:p>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教学难点</w:t>
            </w:r>
          </w:p>
        </w:tc>
      </w:tr>
      <w:tr>
        <w:trPr>
          <w:trHeight w:val="3451"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1</w:t>
            </w:r>
          </w:p>
        </w:tc>
        <w:tc>
          <w:tcPr>
            <w:tcW w:w="1212" w:type="dxa"/>
          </w:tcPr>
          <w:p>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绪论</w:t>
            </w:r>
          </w:p>
          <w:p>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与</w:t>
            </w:r>
          </w:p>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精神科护理相关的伦理及法律</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1.知道什么是精神科护理学。</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2.知道精神科护理学的主要任务。</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3.理解精神病学发展史。</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4.理解精神科护理学发展史。</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5.知道精神科护理常见伦理问题和法律问题。</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6.理解精神科护理伦理的基本原则。</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7.理解精神科护理中病人及护理人员的权利与义务。</w:t>
            </w:r>
          </w:p>
        </w:tc>
        <w:tc>
          <w:tcPr>
            <w:tcW w:w="1540"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1.能应用心理护理的内容。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2.能分析精神科护理不良事件发生的可能原因。</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3.能在临床工作中运用精神科护理伦理的相关原则的。</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4.能在精神科护理工作中维护病人的权益。</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5.能在精神科护理工作中维护护理人员的权利。</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1.精神科护理不良事件发生的可能原因</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2.精神科护理伦理的基本原则</w:t>
            </w:r>
          </w:p>
        </w:tc>
      </w:tr>
      <w:tr>
        <w:trPr>
          <w:trHeight w:val="2829"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2</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精神疾病的基本知识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1.知道精神障碍的病因。</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2.知道精神障碍的两大分类系统，即ICD-11和DSM-5。</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3.知道常见精神症状的概念及其常见于哪些疾病。</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4.理解某些表现相似的精神症状的异同点。</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5.区分正常和异常精神活动。</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能查阅资料、阅读文献，了解精神疾病谱的变化。</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1.某些表现相似的精神症状的异同点</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2.正常和异常精神活动的区分</w:t>
            </w:r>
          </w:p>
        </w:tc>
      </w:tr>
      <w:tr>
        <w:trPr>
          <w:trHeight w:val="3140"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3</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神经认知障碍病人的护理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1.知道神经认知的分类及其概念。</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2.知道谵妄、痴呆、遗忘综合征的临床表现和治疗原则。</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3.理解神经认知障碍的共同临床特征、护理</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措施。</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4.理解躯体疾病所致精神障碍的共同临床特征、护理措施。</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能结合临床病例，对神经认知障碍病人迸行评估并制订护理计划。</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1.脑神经认知障碍的共同临床特征、护理措施</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2.躯体疾病所致精神障碍的共同临床特征、护理措施。</w:t>
            </w:r>
          </w:p>
        </w:tc>
      </w:tr>
      <w:tr>
        <w:trPr>
          <w:trHeight w:val="4384"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4</w:t>
            </w:r>
          </w:p>
        </w:tc>
        <w:tc>
          <w:tcPr>
            <w:tcW w:w="1212" w:type="dxa"/>
          </w:tcPr>
          <w:p>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精神科护理技能、</w:t>
            </w:r>
          </w:p>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精神障碍病人的社区康复及家庭护理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1.知道治疗性护患（家属）关系的意义和要求。</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2.知道精神障碍病人的观察内容和方法。</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3.知道护理记录的方式和内容。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4.知道精神障碍病人生活护理的基本内容。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5.理解治疗性护患（家属）关系与社交性人际关系的异同。</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6.理解治疗性护患（家属）关系形成的过程及各阶段护士的任务。</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7.知道精神障碍病人社区康复的目的；精神障碍康复护理的原则。</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8.知道精神障碍康复护理的基本内容；精神疾病防治工作的层次。</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9.理解社区慢性精神障碍病人的护理特点。</w:t>
            </w:r>
          </w:p>
        </w:tc>
        <w:tc>
          <w:tcPr>
            <w:tcW w:w="1540"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1.能应用本章知识和技能建立治疗性护患（家属）</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关系。</w:t>
            </w:r>
          </w:p>
          <w:p>
            <w:pPr>
              <w:widowControl w:val="0"/>
              <w:numPr>
                <w:ilvl w:val="0"/>
                <w:numId w:val="3"/>
              </w:numPr>
              <w:snapToGrid w:val="0"/>
              <w:spacing w:line="288" w:lineRule="auto"/>
              <w:jc w:val="left"/>
              <w:rPr>
                <w:rFonts w:ascii="宋体" w:hAnsi="宋体"/>
                <w:color w:val="000000"/>
                <w:sz w:val="20"/>
                <w:szCs w:val="20"/>
              </w:rPr>
            </w:pPr>
            <w:r>
              <w:rPr>
                <w:rFonts w:hint="eastAsia" w:ascii="宋体" w:hAnsi="宋体"/>
                <w:color w:val="000000"/>
                <w:sz w:val="20"/>
                <w:szCs w:val="20"/>
              </w:rPr>
              <w:t>能应用本章知识和技能对病人实施临床生活护理。</w:t>
            </w:r>
          </w:p>
          <w:p>
            <w:pPr>
              <w:widowControl w:val="0"/>
              <w:numPr>
                <w:ilvl w:val="0"/>
                <w:numId w:val="3"/>
              </w:numPr>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能应用护理程序在精神障碍病人社区护理及家庭护理中。</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1.治疗性护患（家属）关系与社交性人际关系的异同</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2.治疗性护患（家属）关系形成的过程及各阶段护士的任务</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3.精神障碍社区康复的工作体系</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6561"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5</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焦虑与恐惧障碍、强迫相关障碍、应激相关障碍病人的护理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1.理解的临床特点和主要治疗方法。</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2.知道应激相关障碍的概念和共同特征。</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3.理解急性应激障碍、创伤后应激障碍、适应障碍的</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临床特点和主要治疗方法。</w:t>
            </w:r>
          </w:p>
          <w:p>
            <w:pPr>
              <w:widowControl w:val="0"/>
              <w:snapToGrid w:val="0"/>
              <w:spacing w:line="288" w:lineRule="auto"/>
              <w:jc w:val="left"/>
              <w:rPr>
                <w:rFonts w:ascii="宋体" w:hAnsi="宋体" w:eastAsia="宋体" w:cs="宋体"/>
                <w:color w:val="000000"/>
                <w:sz w:val="20"/>
                <w:szCs w:val="20"/>
                <w:lang w:val="en-US" w:eastAsia="zh-CN" w:bidi="ar-SA"/>
              </w:rPr>
            </w:pPr>
          </w:p>
        </w:tc>
        <w:tc>
          <w:tcPr>
            <w:tcW w:w="1540"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1.能根据焦虑症、恐怖症、躯体形式障碍、强迫症、转换分离障碍、神经衰弱病人的相关临床资料，判断其存在的护理问题并制订相应护理计划。</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2.能根据应激相关障碍病人的相关临床资料，判断其存在的护理问题并制订相应护理计划。</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焦虑症、恐怖症、躯体形式障碍、强迫症、转换分离障碍、神经衰弱的临床特点</w:t>
            </w:r>
          </w:p>
        </w:tc>
      </w:tr>
      <w:tr>
        <w:trPr>
          <w:trHeight w:val="5628"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6</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物质使用与成瘾行为所致精神障碍病人的护理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1.知道精神活性物质的基本概念和分类。</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2.知道精神活性物质使用的相关因素。</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3.知道精神活性物质依赖的诊断标准。</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4.理解精神活性物质所致精神障碍的防治原则。</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5.理解酒精所致精神障碍、阿片类物质所致精神障碍、苯丙胺类物质所致精神障碍、氯胺酮所致精神障碍、镇静催眠药物和抗焦虑药物所致精神障碍、烟草所致精神障碍、赌博障碍、游戏障碍的临床特点。</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能正确应用护理程序对各种精神活性物质所致精神障碍的病人进行有效护理和健康教育。</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酒精所致精神障碍、阿片类物质所致精神障碍、苯丙胺类物质所致精神障碍、氯胺酮所致精神障碍、镇静催眠药物和抗焦虑药物所致精神障碍、烟草所致精神障碍、赌博障碍、游戏障碍的临床特点</w:t>
            </w:r>
          </w:p>
        </w:tc>
      </w:tr>
      <w:tr>
        <w:trPr>
          <w:trHeight w:val="652"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7</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精神分裂症病人的护理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1.知道精神分裂症的基本概念、治疗原则。</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2.理解不同类型精神分裂症的主要临床表现。</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3.理解精神分裂症的主要病因。</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能评估病人的整体情况，对病人在受症状支配的情况下可能出现的危险行为可以做出一定的预见。</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不同类型精神分裂症的主要临床表现</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2829"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8</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抑郁障碍、双相障碍病人的护理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1.知道抑郁障碍、双相障碍的基本概念和分类。</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2.知道抑郁发作和躁狂发作的临床特点。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3.理解抑郁障碍、双相障碍的诊断要点与防治原则。</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4.理解抑郁障碍、双相障碍的主要病因与发病机制。</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能结合临床病例，正确运用护理程序，对抑郁障碍、双相障碍病人进行有效护理和健康教育。</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1.抑郁发作和躁狂发作的临床特点</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2.抑郁障碍、双相障碍的诊断要点与防治原则</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2829"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9</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神经发育障碍病人的护理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1.知道精神发育迟滞的等级和临床表现。</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2.知道孤独症的概念和临床表现。</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3.理解注意缺陷与多动障碍的临床表现。</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4.理解儿童少年期情绪障碍的临床表现。</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能应用护理程序为儿童孤独症、注意缺陷与多动障碍患儿提供个体化的护理。</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1.孤独症的临床表现</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2.注意缺陷与多动障碍的临床表现</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2829"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10</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心理因素相关生理障碍、人格障碍病人的护理</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1.知道进食障碍、神经性厌食症、神经性贪食症、失眠症、人格障的定义。</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2.知道进食障碍和睡眠障碍常见类型的临床表现。</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3.知道进食障碍和睡眠障碍的治疗、预后和护理措施。</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4.理解神经性厌食症与神经性贪食症，用实例说明进食障碍的特点。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5.理解几个睡眠障碍的概念，说明它们之间的异同点。</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6.人格障碍的临床表现</w:t>
            </w:r>
          </w:p>
        </w:tc>
        <w:tc>
          <w:tcPr>
            <w:tcW w:w="1540" w:type="dxa"/>
          </w:tcPr>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能查阅资料，根据病例中病人的症状和特点，提出有针对性的护理措施。</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1.神经性厌食症与神经性贪食症的特点</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2.几个睡眠障碍之间的异同点</w:t>
            </w:r>
          </w:p>
        </w:tc>
      </w:tr>
      <w:tr>
        <w:trPr>
          <w:trHeight w:val="3170" w:hRule="atLeast"/>
        </w:trPr>
        <w:tc>
          <w:tcPr>
            <w:tcW w:w="520" w:type="dxa"/>
            <w:vAlign w:val="center"/>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11</w:t>
            </w:r>
          </w:p>
        </w:tc>
        <w:tc>
          <w:tcPr>
            <w:tcW w:w="1212" w:type="dxa"/>
          </w:tcPr>
          <w:p>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躯体治疗观察与护理、心理治疗及其在护理中的应用</w:t>
            </w:r>
          </w:p>
        </w:tc>
        <w:tc>
          <w:tcPr>
            <w:tcW w:w="1977"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1.知道精神药物的分类、作用及常见不良反应。</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2.知道精神药物治疗的护理措施。</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3.知道改良电痉挛治疗的适应证与禁忌证、治疗前后护理。</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4.理解第一代抗精神病药与第二代抗精神病药之间的异同点。</w:t>
            </w:r>
          </w:p>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5.理解各类精神药物临床应用的一般原则。</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6.心理治疗的定义、原则、治疗方法、危机干预。</w:t>
            </w:r>
          </w:p>
        </w:tc>
        <w:tc>
          <w:tcPr>
            <w:tcW w:w="1540"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1.能应用护理程序为精神障碍病人提供精神药物治疗的护理。</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2.运用心理治疗的方法为精神科患者提供护理</w:t>
            </w:r>
          </w:p>
        </w:tc>
        <w:tc>
          <w:tcPr>
            <w:tcW w:w="1885"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1.精神药物常见不良反应</w:t>
            </w:r>
          </w:p>
          <w:p>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2.第一代抗精神病药与第二代抗精神病药之间的异同点</w:t>
            </w:r>
          </w:p>
        </w:tc>
      </w:tr>
    </w:tbl>
    <w:p>
      <w:pPr>
        <w:pStyle w:val="17"/>
        <w:spacing w:before="81" w:after="163"/>
        <w:rPr>
          <w:rFonts w:hint="eastAsia"/>
        </w:rPr>
      </w:pPr>
    </w:p>
    <w:p>
      <w:pPr>
        <w:pStyle w:val="17"/>
        <w:spacing w:before="81" w:after="163"/>
      </w:pPr>
      <w:r>
        <w:rPr>
          <w:rFonts w:hint="eastAsia"/>
        </w:rPr>
        <w:t>（二）教学单元对课程目标的支撑关系</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34"/>
        <w:gridCol w:w="1074"/>
        <w:gridCol w:w="1074"/>
        <w:gridCol w:w="1074"/>
        <w:gridCol w:w="1073"/>
        <w:gridCol w:w="107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szCs w:val="16"/>
              </w:rPr>
              <w:t>1</w:t>
            </w:r>
          </w:p>
        </w:tc>
        <w:tc>
          <w:tcPr>
            <w:tcW w:w="1074" w:type="dxa"/>
            <w:tcBorders>
              <w:top w:val="single" w:color="auto" w:sz="12" w:space="0"/>
            </w:tcBorders>
            <w:vAlign w:val="center"/>
          </w:tcPr>
          <w:p>
            <w:pPr>
              <w:pStyle w:val="13"/>
              <w:rPr>
                <w:szCs w:val="16"/>
              </w:rPr>
            </w:pPr>
            <w:r>
              <w:rPr>
                <w:szCs w:val="16"/>
              </w:rPr>
              <w:t>2</w:t>
            </w:r>
          </w:p>
        </w:tc>
        <w:tc>
          <w:tcPr>
            <w:tcW w:w="1074" w:type="dxa"/>
            <w:tcBorders>
              <w:top w:val="single" w:color="auto" w:sz="12" w:space="0"/>
            </w:tcBorders>
            <w:vAlign w:val="center"/>
          </w:tcPr>
          <w:p>
            <w:pPr>
              <w:pStyle w:val="13"/>
              <w:rPr>
                <w:szCs w:val="16"/>
              </w:rPr>
            </w:pPr>
            <w:r>
              <w:rPr>
                <w:szCs w:val="16"/>
              </w:rPr>
              <w:t>3</w:t>
            </w:r>
          </w:p>
        </w:tc>
        <w:tc>
          <w:tcPr>
            <w:tcW w:w="1073" w:type="dxa"/>
            <w:tcBorders>
              <w:top w:val="single" w:color="auto" w:sz="12" w:space="0"/>
            </w:tcBorders>
            <w:vAlign w:val="center"/>
          </w:tcPr>
          <w:p>
            <w:pPr>
              <w:pStyle w:val="13"/>
              <w:rPr>
                <w:szCs w:val="16"/>
              </w:rPr>
            </w:pPr>
            <w:r>
              <w:rPr>
                <w:szCs w:val="16"/>
              </w:rPr>
              <w:t>4</w:t>
            </w:r>
          </w:p>
        </w:tc>
        <w:tc>
          <w:tcPr>
            <w:tcW w:w="1073" w:type="dxa"/>
            <w:tcBorders>
              <w:top w:val="single" w:color="auto" w:sz="12" w:space="0"/>
            </w:tcBorders>
            <w:vAlign w:val="center"/>
          </w:tcPr>
          <w:p>
            <w:pPr>
              <w:pStyle w:val="13"/>
              <w:rPr>
                <w:szCs w:val="16"/>
              </w:rPr>
            </w:pPr>
            <w:r>
              <w:rPr>
                <w:szCs w:val="16"/>
              </w:rPr>
              <w:t>5</w:t>
            </w:r>
          </w:p>
        </w:tc>
        <w:tc>
          <w:tcPr>
            <w:tcW w:w="1074" w:type="dxa"/>
            <w:tcBorders>
              <w:top w:val="single" w:color="auto" w:sz="12" w:space="0"/>
              <w:right w:val="single" w:color="auto" w:sz="12" w:space="0"/>
            </w:tcBorders>
            <w:vAlign w:val="center"/>
          </w:tcPr>
          <w:p>
            <w:pPr>
              <w:pStyle w:val="13"/>
              <w:rPr>
                <w:szCs w:val="16"/>
              </w:rPr>
            </w:pPr>
            <w:r>
              <w:rPr>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1.绪论与精神科护理相关的伦理及法律</w:t>
            </w:r>
          </w:p>
        </w:tc>
        <w:tc>
          <w:tcPr>
            <w:tcW w:w="1074" w:type="dxa"/>
            <w:vAlign w:val="center"/>
          </w:tcPr>
          <w:p>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2.精神疾病的基本知识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3.神经认知障碍病人的护理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4.精神科护理技能、</w:t>
            </w:r>
          </w:p>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精神障碍病人的社区康复及家庭护理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5.焦虑与恐惧障碍、强迫相关障碍、应激相关障碍病人的护理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6.物质使用与成瘾行为所致精神障碍病人的护理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7.精神分裂症病人的护理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8.抑郁障碍、双相障碍病人的护理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9.神经发育障碍病人的护理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10.心理因素相关生理障碍、人格障碍病人的护理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bottom w:val="single" w:color="auto" w:sz="12" w:space="0"/>
            </w:tcBorders>
            <w:vAlign w:val="top"/>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11.躯体治疗观察与护理、心理治疗及其在护理中的应用</w:t>
            </w:r>
          </w:p>
        </w:tc>
        <w:tc>
          <w:tcPr>
            <w:tcW w:w="1074" w:type="dxa"/>
            <w:tcBorders>
              <w:bottom w:val="single" w:color="auto" w:sz="12" w:space="0"/>
            </w:tcBorders>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tcBorders>
              <w:bottom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c>
          <w:tcPr>
            <w:tcW w:w="1074" w:type="dxa"/>
            <w:tcBorders>
              <w:bottom w:val="single" w:color="auto" w:sz="12" w:space="0"/>
            </w:tcBorders>
            <w:vAlign w:val="center"/>
          </w:tcPr>
          <w:p>
            <w:pPr>
              <w:pStyle w:val="14"/>
              <w:jc w:val="center"/>
              <w:rPr>
                <w:rFonts w:hint="default" w:ascii="Times New Roman Regular" w:hAnsi="Times New Roman Regular" w:eastAsia="宋体" w:cs="Times New Roman Regular"/>
                <w:sz w:val="21"/>
                <w:szCs w:val="21"/>
              </w:rPr>
            </w:pPr>
          </w:p>
        </w:tc>
        <w:tc>
          <w:tcPr>
            <w:tcW w:w="1073" w:type="dxa"/>
            <w:tcBorders>
              <w:bottom w:val="single" w:color="auto" w:sz="12" w:space="0"/>
            </w:tcBorders>
            <w:vAlign w:val="center"/>
          </w:tcPr>
          <w:p>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tcBorders>
              <w:bottom w:val="single" w:color="auto" w:sz="12" w:space="0"/>
            </w:tcBorders>
            <w:vAlign w:val="center"/>
          </w:tcPr>
          <w:p>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tcBorders>
              <w:bottom w:val="single" w:color="auto" w:sz="12" w:space="0"/>
              <w:right w:val="single" w:color="auto" w:sz="12" w:space="0"/>
            </w:tcBorders>
            <w:vAlign w:val="center"/>
          </w:tcPr>
          <w:p>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r>
    </w:tbl>
    <w:p>
      <w:pPr>
        <w:pStyle w:val="17"/>
        <w:spacing w:before="326" w:beforeLines="100" w:after="163"/>
      </w:pPr>
      <w:r>
        <w:rPr>
          <w:rFonts w:hint="eastAsia"/>
        </w:rPr>
        <w:t>（三）课程教学方法与学时分配</w:t>
      </w:r>
    </w:p>
    <w:tbl>
      <w:tblPr>
        <w:tblStyle w:val="10"/>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教学单元</w:t>
            </w:r>
          </w:p>
        </w:tc>
        <w:tc>
          <w:tcPr>
            <w:tcW w:w="2690" w:type="dxa"/>
            <w:vMerge w:val="restart"/>
            <w:tcBorders>
              <w:top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教与学方式</w:t>
            </w:r>
          </w:p>
        </w:tc>
        <w:tc>
          <w:tcPr>
            <w:tcW w:w="1697" w:type="dxa"/>
            <w:vMerge w:val="restart"/>
            <w:tcBorders>
              <w:top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学时</w:t>
            </w:r>
            <w:r>
              <w:rPr>
                <w:rFonts w:hint="eastAsia" w:ascii="黑体" w:hAnsi="黑体" w:eastAsia="黑体" w:cs="黑体"/>
                <w:bCs w:val="0"/>
                <w:sz w:val="21"/>
                <w:szCs w:val="21"/>
              </w:rPr>
              <w:t>分配</w:t>
            </w:r>
          </w:p>
        </w:tc>
      </w:tr>
      <w:tr>
        <w:trPr>
          <w:trHeight w:val="340" w:hRule="atLeast"/>
          <w:jc w:val="center"/>
        </w:trPr>
        <w:tc>
          <w:tcPr>
            <w:tcW w:w="1828" w:type="dxa"/>
            <w:vMerge w:val="continue"/>
            <w:tcBorders>
              <w:left w:val="single" w:color="auto" w:sz="12" w:space="0"/>
            </w:tcBorders>
          </w:tcPr>
          <w:p>
            <w:pPr>
              <w:widowControl w:val="0"/>
              <w:snapToGrid w:val="0"/>
              <w:jc w:val="center"/>
              <w:rPr>
                <w:rFonts w:hint="eastAsia" w:ascii="黑体" w:hAnsi="黑体" w:eastAsia="黑体" w:cs="黑体"/>
                <w:bCs/>
                <w:sz w:val="21"/>
                <w:szCs w:val="21"/>
              </w:rPr>
            </w:pPr>
          </w:p>
        </w:tc>
        <w:tc>
          <w:tcPr>
            <w:tcW w:w="2690" w:type="dxa"/>
            <w:vMerge w:val="continue"/>
          </w:tcPr>
          <w:p>
            <w:pPr>
              <w:widowControl w:val="0"/>
              <w:snapToGrid w:val="0"/>
              <w:jc w:val="center"/>
              <w:rPr>
                <w:rFonts w:hint="eastAsia" w:ascii="黑体" w:hAnsi="黑体" w:eastAsia="黑体" w:cs="黑体"/>
                <w:bCs/>
                <w:sz w:val="21"/>
                <w:szCs w:val="21"/>
              </w:rPr>
            </w:pPr>
          </w:p>
        </w:tc>
        <w:tc>
          <w:tcPr>
            <w:tcW w:w="1697" w:type="dxa"/>
            <w:vMerge w:val="continue"/>
          </w:tcPr>
          <w:p>
            <w:pPr>
              <w:widowControl w:val="0"/>
              <w:snapToGrid w:val="0"/>
              <w:jc w:val="center"/>
              <w:rPr>
                <w:rFonts w:hint="eastAsia" w:ascii="黑体" w:hAnsi="黑体" w:eastAsia="黑体" w:cs="黑体"/>
                <w:bCs/>
                <w:sz w:val="21"/>
                <w:szCs w:val="21"/>
              </w:rPr>
            </w:pPr>
          </w:p>
        </w:tc>
        <w:tc>
          <w:tcPr>
            <w:tcW w:w="708" w:type="dxa"/>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理论</w:t>
            </w:r>
          </w:p>
        </w:tc>
        <w:tc>
          <w:tcPr>
            <w:tcW w:w="653" w:type="dxa"/>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实践</w:t>
            </w:r>
          </w:p>
        </w:tc>
        <w:tc>
          <w:tcPr>
            <w:tcW w:w="700" w:type="dxa"/>
            <w:tcBorders>
              <w:right w:val="single" w:color="auto" w:sz="12" w:space="0"/>
            </w:tcBorders>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小计</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1.绪论与精神科护理相关的伦理及法律</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2.精神疾病的基本知识</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3.神经认知障碍病人的护理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4.精神科护理技能、精神障碍病人的社区康复及家庭护理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5.焦虑与恐惧障碍、强迫相关障碍、应激相关障碍病人的护理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实训报告</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6.物质使用与成瘾行为所致精神障碍病人的护理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7.精神分裂症病人的护理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实训报告</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8.抑郁障碍、双相障碍病人的护理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9.神经发育障碍病人的护理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10.心理因素相关生理障碍、人格障碍病人的护理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top"/>
          </w:tcPr>
          <w:p>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11.躯体治疗观察与护理、心理治疗及其在护理中的应用</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合计</w:t>
            </w:r>
          </w:p>
        </w:tc>
        <w:tc>
          <w:tcPr>
            <w:tcW w:w="708" w:type="dxa"/>
            <w:tcBorders>
              <w:bottom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24</w:t>
            </w:r>
          </w:p>
        </w:tc>
        <w:tc>
          <w:tcPr>
            <w:tcW w:w="653" w:type="dxa"/>
            <w:tcBorders>
              <w:bottom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32</w:t>
            </w:r>
          </w:p>
        </w:tc>
      </w:tr>
    </w:tbl>
    <w:p>
      <w:pPr>
        <w:pStyle w:val="17"/>
        <w:spacing w:before="326" w:beforeLines="100" w:after="163"/>
      </w:pPr>
      <w:r>
        <w:rPr>
          <w:rFonts w:hint="eastAsia"/>
        </w:rPr>
        <w:t>（四）课内实验项目与基本要求</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精神症状展示</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1.知道精神障碍的病因</w:t>
            </w:r>
            <w:r>
              <w:rPr>
                <w:rFonts w:hint="eastAsia" w:ascii="Times New Roman Regular" w:hAnsi="Times New Roman Regular" w:eastAsia="宋体" w:cs="Times New Roman Regular"/>
                <w:color w:val="000000"/>
                <w:sz w:val="21"/>
                <w:szCs w:val="21"/>
                <w:lang w:eastAsia="zh-Hans"/>
              </w:rPr>
              <w:t>；</w:t>
            </w:r>
            <w:r>
              <w:rPr>
                <w:rFonts w:hint="eastAsia" w:ascii="宋体" w:hAnsi="宋体"/>
                <w:color w:val="000000"/>
                <w:sz w:val="20"/>
                <w:szCs w:val="20"/>
              </w:rPr>
              <w:t>理解某些表现相似的精神症状的异同点</w:t>
            </w:r>
            <w:r>
              <w:rPr>
                <w:rFonts w:hint="eastAsia" w:ascii="宋体" w:hAnsi="宋体"/>
                <w:color w:val="000000"/>
                <w:sz w:val="20"/>
                <w:szCs w:val="20"/>
                <w:lang w:eastAsia="zh-Hans"/>
              </w:rPr>
              <w:t>；</w:t>
            </w:r>
            <w:r>
              <w:rPr>
                <w:rFonts w:hint="eastAsia" w:ascii="宋体" w:hAnsi="宋体"/>
                <w:color w:val="000000"/>
                <w:sz w:val="20"/>
                <w:szCs w:val="20"/>
              </w:rPr>
              <w:t>区分正常和异常精神活动。</w:t>
            </w:r>
          </w:p>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r>
              <w:rPr>
                <w:rFonts w:hint="eastAsia" w:ascii="Times New Roman Regular" w:hAnsi="Times New Roman Regular" w:eastAsia="宋体" w:cs="Times New Roman Regular"/>
                <w:color w:val="000000"/>
                <w:sz w:val="21"/>
                <w:szCs w:val="21"/>
                <w:lang w:val="en-US" w:eastAsia="zh-Hans"/>
              </w:rPr>
              <w:t>认识</w:t>
            </w:r>
            <w:r>
              <w:rPr>
                <w:rFonts w:hint="default" w:ascii="Times New Roman Regular" w:hAnsi="Times New Roman Regular" w:eastAsia="宋体" w:cs="Times New Roman Regular"/>
                <w:color w:val="000000"/>
                <w:sz w:val="21"/>
                <w:szCs w:val="21"/>
              </w:rPr>
              <w:t>感知觉障碍、思维障碍</w:t>
            </w:r>
            <w:r>
              <w:rPr>
                <w:rFonts w:hint="eastAsia" w:ascii="Times New Roman Regular" w:hAnsi="Times New Roman Regular" w:eastAsia="宋体" w:cs="Times New Roman Regular"/>
                <w:color w:val="000000"/>
                <w:sz w:val="21"/>
                <w:szCs w:val="21"/>
                <w:lang w:val="en-US" w:eastAsia="zh-Hans"/>
              </w:rPr>
              <w:t>表现。</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right w:val="single" w:color="auto" w:sz="12"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精神科基本技能展示</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知道</w:t>
            </w:r>
            <w:r>
              <w:rPr>
                <w:rFonts w:hint="eastAsia" w:ascii="宋体" w:hAnsi="宋体"/>
                <w:color w:val="000000"/>
                <w:sz w:val="20"/>
                <w:szCs w:val="20"/>
                <w:lang w:val="en-US" w:eastAsia="zh-Hans"/>
              </w:rPr>
              <w:t>精神科相关技能</w:t>
            </w:r>
            <w:r>
              <w:rPr>
                <w:rFonts w:hint="eastAsia" w:ascii="宋体" w:hAnsi="宋体"/>
                <w:color w:val="000000"/>
                <w:sz w:val="20"/>
                <w:szCs w:val="20"/>
              </w:rPr>
              <w:t>治疗的适应证与禁忌证、治疗前后护理。</w:t>
            </w:r>
          </w:p>
          <w:p>
            <w:pPr>
              <w:numPr>
                <w:ilvl w:val="0"/>
                <w:numId w:val="4"/>
              </w:num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eastAsia="宋体" w:cs="Times New Roman Regular"/>
                <w:color w:val="000000"/>
                <w:sz w:val="21"/>
                <w:szCs w:val="21"/>
                <w:lang w:val="en-US" w:eastAsia="zh-Hans"/>
              </w:rPr>
              <w:t>知道</w:t>
            </w:r>
            <w:r>
              <w:rPr>
                <w:rFonts w:hint="default" w:ascii="Times New Roman Regular" w:hAnsi="Times New Roman Regular" w:eastAsia="宋体" w:cs="Times New Roman Regular"/>
                <w:color w:val="000000"/>
                <w:sz w:val="21"/>
                <w:szCs w:val="21"/>
              </w:rPr>
              <w:t>精神科危急事件处理</w:t>
            </w:r>
            <w:r>
              <w:rPr>
                <w:rFonts w:hint="eastAsia" w:ascii="Times New Roman Regular" w:hAnsi="Times New Roman Regular" w:eastAsia="宋体" w:cs="Times New Roman Regular"/>
                <w:color w:val="000000"/>
                <w:sz w:val="21"/>
                <w:szCs w:val="21"/>
                <w:lang w:val="en-US" w:eastAsia="zh-Hans"/>
              </w:rPr>
              <w:t>程序。</w:t>
            </w:r>
          </w:p>
        </w:tc>
        <w:tc>
          <w:tcPr>
            <w:tcW w:w="842" w:type="dxa"/>
            <w:tcBorders>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bottom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病例分析：器质性精神障碍、神经症病人的护理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能结合临床病例，正确运用护理程序，对器质性精神障碍、神经症病人进行有效护理和健康教育。</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病例分析：精神分裂症、心境障碍病人的护理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能结合临床病例，正确运用护理程序，对精神分裂症、心境障碍病人进行有效护理和健康教育。</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bookmarkEnd w:id="0"/>
      <w:bookmarkEnd w:id="1"/>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pPr>
              <w:pStyle w:val="14"/>
              <w:widowControl w:val="0"/>
              <w:ind w:firstLine="420" w:firstLineChars="200"/>
              <w:jc w:val="left"/>
              <w:rPr>
                <w:rFonts w:hint="eastAsia"/>
              </w:rPr>
            </w:pPr>
            <w:r>
              <w:rPr>
                <w:rFonts w:hint="eastAsia"/>
              </w:rPr>
              <w:t>在精神科护理学课程中，可以引导学生关注患者的心理需求，培养他们的同理心和关爱之心。比如，通过案例分析，让学生思考如何更好地与患者沟通，理解他们的情感和需要。其次，可以结合思政课程中的社会主义核心价值观，强调对患者的人道主义关怀。让学生明白，作为医护人员，不仅要有专业技能，更要有高尚的道德情操和人文精神。另外，还可以结合实际案例，引导学生思考社会问题对精神健康的影响。比如，探讨贫困、失业、家庭关系等社会因素对精神健康的影响，让学生意识到社会问题的解决对于精神健康的重要性。</w:t>
            </w:r>
          </w:p>
          <w:p>
            <w:pPr>
              <w:pStyle w:val="14"/>
              <w:widowControl w:val="0"/>
              <w:jc w:val="left"/>
              <w:rPr>
                <w:rFonts w:hint="eastAsia"/>
              </w:rPr>
            </w:pPr>
            <w:r>
              <w:rPr>
                <w:rFonts w:hint="eastAsia"/>
              </w:rPr>
              <w:t>最后，还可以通过组织实践活动，让学生在实践中感受人文关怀的力量。比如，组织学生参加志愿者活动，为精神疾病患者提供关爱和帮助，让他们在实际行动中体验到人文关怀的重要性。将精神科护理学与思政课程相结合，提高学生的医学素养，培养人文关怀和社会责任感。</w:t>
            </w:r>
            <w:r>
              <w:rPr>
                <w:rFonts w:hint="eastAsia"/>
                <w:lang w:val="en-US" w:eastAsia="zh-Hans"/>
              </w:rPr>
              <w:t>使学生</w:t>
            </w:r>
            <w:r>
              <w:rPr>
                <w:rFonts w:hint="eastAsia"/>
              </w:rPr>
              <w:t>成为既有专业技能又有高尚道德情操的优秀医护人员。</w:t>
            </w:r>
          </w:p>
        </w:tc>
      </w:tr>
    </w:tbl>
    <w:p>
      <w:pPr>
        <w:pStyle w:val="16"/>
        <w:spacing w:before="326" w:beforeLines="100" w:line="360" w:lineRule="auto"/>
        <w:rPr>
          <w:rFonts w:ascii="黑体" w:hAnsi="宋体"/>
        </w:rPr>
      </w:pPr>
      <w:r>
        <w:rPr>
          <w:rFonts w:hint="eastAsia" w:ascii="黑体" w:hAnsi="宋体"/>
        </w:rPr>
        <w:t>五、课程考核</w:t>
      </w:r>
      <w:bookmarkStart w:id="2" w:name="OLE_LINK4"/>
      <w:bookmarkEnd w:id="2"/>
      <w:bookmarkStart w:id="3" w:name="OLE_LINK3"/>
      <w:bookmarkEnd w:id="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1</w:t>
            </w:r>
          </w:p>
        </w:tc>
        <w:tc>
          <w:tcPr>
            <w:tcW w:w="709" w:type="dxa"/>
            <w:vAlign w:val="center"/>
          </w:tcPr>
          <w:p>
            <w:pPr>
              <w:pStyle w:val="14"/>
              <w:widowControl w:val="0"/>
            </w:pPr>
            <w:r>
              <w:rPr>
                <w:rFonts w:hint="default" w:ascii="Times New Roman Regular" w:hAnsi="Times New Roman Regular" w:cs="Times New Roman Regular"/>
                <w:bCs/>
              </w:rPr>
              <w:t>60%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color w:val="000000" w:themeColor="text1"/>
                <w14:textFill>
                  <w14:solidFill>
                    <w14:schemeClr w14:val="tx1"/>
                  </w14:solidFill>
                </w14:textFill>
              </w:rPr>
              <w:t>期终闭卷考</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w:t>
            </w:r>
            <w:r>
              <w:rPr>
                <w:rFonts w:hint="default" w:ascii="Times New Roman Regular" w:hAnsi="Times New Roman Regular" w:eastAsia="黑体" w:cs="Times New Roman Regular"/>
                <w:bCs/>
                <w:sz w:val="21"/>
                <w:szCs w:val="21"/>
              </w:rPr>
              <w:t>1</w:t>
            </w:r>
          </w:p>
        </w:tc>
        <w:tc>
          <w:tcPr>
            <w:tcW w:w="709" w:type="dxa"/>
            <w:vAlign w:val="center"/>
          </w:tcPr>
          <w:p>
            <w:pPr>
              <w:pStyle w:val="14"/>
              <w:widowControl w:val="0"/>
            </w:pPr>
            <w:r>
              <w:rPr>
                <w:rFonts w:hint="default" w:ascii="Times New Roman Regular" w:hAnsi="Times New Roman Regular" w:cs="Times New Roman Regular"/>
                <w:bCs/>
              </w:rPr>
              <w:t>20%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color w:val="000000" w:themeColor="text1"/>
                <w14:textFill>
                  <w14:solidFill>
                    <w14:schemeClr w14:val="tx1"/>
                  </w14:solidFill>
                </w14:textFill>
              </w:rPr>
              <w:t>课堂小测验</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w:t>
            </w:r>
            <w:r>
              <w:rPr>
                <w:rFonts w:hint="default" w:ascii="Times New Roman Regular" w:hAnsi="Times New Roman Regular" w:eastAsia="黑体" w:cs="Times New Roman Regular"/>
                <w:bCs/>
                <w:sz w:val="21"/>
                <w:szCs w:val="21"/>
              </w:rPr>
              <w:t>2</w:t>
            </w:r>
          </w:p>
        </w:tc>
        <w:tc>
          <w:tcPr>
            <w:tcW w:w="709" w:type="dxa"/>
            <w:vAlign w:val="center"/>
          </w:tcPr>
          <w:p>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bCs/>
              </w:rPr>
              <w:t>课堂展示</w:t>
            </w:r>
          </w:p>
        </w:tc>
        <w:tc>
          <w:tcPr>
            <w:tcW w:w="612" w:type="dxa"/>
            <w:tcBorders>
              <w:left w:val="double" w:color="auto" w:sz="4" w:space="0"/>
            </w:tcBorders>
            <w:vAlign w:val="center"/>
          </w:tcPr>
          <w:p>
            <w:pPr>
              <w:pStyle w:val="14"/>
              <w:widowControl w:val="0"/>
              <w:jc w:val="center"/>
            </w:pPr>
            <w:r>
              <w:t>15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pPr>
              <w:pStyle w:val="14"/>
              <w:widowControl w:val="0"/>
              <w:jc w:val="center"/>
            </w:pPr>
            <w:r>
              <w:t>25</w:t>
            </w: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w:t>
            </w:r>
            <w:r>
              <w:rPr>
                <w:rFonts w:hint="default" w:ascii="Times New Roman Regular" w:hAnsi="Times New Roman Regular" w:eastAsia="黑体" w:cs="Times New Roman Regular"/>
                <w:bCs/>
                <w:sz w:val="21"/>
                <w:szCs w:val="21"/>
              </w:rPr>
              <w:t>3</w:t>
            </w:r>
            <w:bookmarkStart w:id="4" w:name="_GoBack"/>
            <w:bookmarkEnd w:id="4"/>
          </w:p>
        </w:tc>
        <w:tc>
          <w:tcPr>
            <w:tcW w:w="709" w:type="dxa"/>
            <w:vAlign w:val="center"/>
          </w:tcPr>
          <w:p>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bCs/>
                <w:lang w:val="en-US" w:eastAsia="zh-Hans"/>
              </w:rPr>
              <w:t>实训报告</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苹方-简"/>
    <w:panose1 w:val="00000000000000000000"/>
    <w:charset w:val="00"/>
    <w:family w:val="auto"/>
    <w:pitch w:val="default"/>
    <w:sig w:usb0="00000000" w:usb1="00000000" w:usb2="00000000" w:usb3="00000000" w:csb0="00000093"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黑体">
    <w:altName w:val="汉仪中黑KW"/>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Kaiti SC Regular">
    <w:panose1 w:val="02010600040101010101"/>
    <w:charset w:val="86"/>
    <w:family w:val="auto"/>
    <w:pitch w:val="default"/>
    <w:sig w:usb0="80000287" w:usb1="280F3C52" w:usb2="00000016" w:usb3="00000000" w:csb0="0004001F" w:csb1="00000000"/>
  </w:font>
  <w:font w:name="Times New Roman Regular">
    <w:panose1 w:val="02020503050405090304"/>
    <w:charset w:val="00"/>
    <w:family w:val="auto"/>
    <w:pitch w:val="default"/>
    <w:sig w:usb0="E0000AFF" w:usb1="00007843" w:usb2="00000001" w:usb3="00000000" w:csb0="400001BF" w:csb1="DFF7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20B0604020202020204"/>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微软雅黑">
    <w:altName w:val="汉仪旗黑"/>
    <w:panose1 w:val="020B0503020204020204"/>
    <w:charset w:val="00"/>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0000000" w:usb3="00000000" w:csb0="0000019F" w:csb1="00000000"/>
  </w:font>
  <w:font w:name="仿宋_GB2312">
    <w:altName w:val="方正仿宋_GBK"/>
    <w:panose1 w:val="020B0604020202020204"/>
    <w:charset w:val="86"/>
    <w:family w:val="modern"/>
    <w:pitch w:val="default"/>
    <w:sig w:usb0="00000000" w:usb1="00000000" w:usb2="00000010" w:usb3="00000000" w:csb0="00040001" w:csb1="00000000"/>
  </w:font>
  <w:font w:name="Kingsoft Math">
    <w:panose1 w:val="02040503050406030204"/>
    <w:charset w:val="00"/>
    <w:family w:val="auto"/>
    <w:pitch w:val="default"/>
    <w:sig w:usb0="80000087" w:usb1="00002068" w:usb2="0000000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SimSun-ExtB">
    <w:altName w:val="华文宋体"/>
    <w:panose1 w:val="02010609060101010101"/>
    <w:charset w:val="86"/>
    <w:family w:val="modern"/>
    <w:pitch w:val="default"/>
    <w:sig w:usb0="00000000" w:usb1="00000000" w:usb2="0000001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苹方-简"/>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system-ui">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
    <w:altName w:val="苹方-简"/>
    <w:panose1 w:val="00000000000000000000"/>
    <w:charset w:val="00"/>
    <w:family w:val="auto"/>
    <w:pitch w:val="default"/>
    <w:sig w:usb0="00000000" w:usb1="00000000" w:usb2="00000000" w:usb3="00000000" w:csb0="00000001" w:csb1="00000000"/>
  </w:font>
  <w:font w:name="PMingLiU">
    <w:altName w:val="宋体-繁"/>
    <w:panose1 w:val="02010601000101010101"/>
    <w:charset w:val="88"/>
    <w:family w:val="roman"/>
    <w:pitch w:val="default"/>
    <w:sig w:usb0="00000000" w:usb1="00000000" w:usb2="00000016" w:usb3="00000000" w:csb0="00100001"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DotumChe">
    <w:altName w:val="Apple SD Gothic Neo"/>
    <w:panose1 w:val="00000000000000000000"/>
    <w:charset w:val="81"/>
    <w:family w:val="modern"/>
    <w:pitch w:val="default"/>
    <w:sig w:usb0="00000000" w:usb1="00000000" w:usb2="00000030" w:usb3="00000000" w:csb0="0008009F" w:csb1="00000000"/>
  </w:font>
  <w:font w:name="華康粗圓體">
    <w:altName w:val="苹方-简"/>
    <w:panose1 w:val="00000000000000000000"/>
    <w:charset w:val="88"/>
    <w:family w:val="modern"/>
    <w:pitch w:val="default"/>
    <w:sig w:usb0="00000000" w:usb1="00000000" w:usb2="00000016" w:usb3="00000000" w:csb0="00100000" w:csb1="00000000"/>
  </w:font>
  <w:font w:name="Georgia">
    <w:panose1 w:val="02040802050405020203"/>
    <w:charset w:val="00"/>
    <w:family w:val="auto"/>
    <w:pitch w:val="default"/>
    <w:sig w:usb0="00000287" w:usb1="00000000" w:usb2="00000000" w:usb3="00000000" w:csb0="2000009F" w:csb1="00000000"/>
  </w:font>
  <w:font w:name="Microsoft JhengHei UI">
    <w:altName w:val="苹方-简"/>
    <w:panose1 w:val="020B0604030504040204"/>
    <w:charset w:val="88"/>
    <w:family w:val="auto"/>
    <w:pitch w:val="default"/>
    <w:sig w:usb0="00000000" w:usb1="00000000" w:usb2="00000016" w:usb3="00000000" w:csb0="00100009"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汉仪中简黑简">
    <w:panose1 w:val="00020600040101010101"/>
    <w:charset w:val="86"/>
    <w:family w:val="auto"/>
    <w:pitch w:val="default"/>
    <w:sig w:usb0="A00002BF" w:usb1="18EF7CFA" w:usb2="00000016" w:usb3="00000000" w:csb0="00040000" w:csb1="00000000"/>
  </w:font>
  <w:font w:name="Times New Roman Bold">
    <w:panose1 w:val="020205030504050903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69AA0"/>
    <w:multiLevelType w:val="singleLevel"/>
    <w:tmpl w:val="93A69AA0"/>
    <w:lvl w:ilvl="0" w:tentative="0">
      <w:start w:val="2"/>
      <w:numFmt w:val="decimal"/>
      <w:lvlText w:val="%1."/>
      <w:lvlJc w:val="left"/>
      <w:pPr>
        <w:tabs>
          <w:tab w:val="left" w:pos="312"/>
        </w:tabs>
      </w:pPr>
    </w:lvl>
  </w:abstractNum>
  <w:abstractNum w:abstractNumId="1">
    <w:nsid w:val="65BE52B5"/>
    <w:multiLevelType w:val="singleLevel"/>
    <w:tmpl w:val="65BE52B5"/>
    <w:lvl w:ilvl="0" w:tentative="0">
      <w:start w:val="3"/>
      <w:numFmt w:val="chineseCounting"/>
      <w:suff w:val="nothing"/>
      <w:lvlText w:val="（%1）"/>
      <w:lvlJc w:val="left"/>
    </w:lvl>
  </w:abstractNum>
  <w:abstractNum w:abstractNumId="2">
    <w:nsid w:val="65BE5D0F"/>
    <w:multiLevelType w:val="singleLevel"/>
    <w:tmpl w:val="65BE5D0F"/>
    <w:lvl w:ilvl="0" w:tentative="0">
      <w:start w:val="1"/>
      <w:numFmt w:val="decimal"/>
      <w:suff w:val="nothing"/>
      <w:lvlText w:val="%1."/>
      <w:lvlJc w:val="left"/>
    </w:lvl>
  </w:abstractNum>
  <w:abstractNum w:abstractNumId="3">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AFF5172"/>
    <w:rsid w:val="22987C80"/>
    <w:rsid w:val="24192CCC"/>
    <w:rsid w:val="367750BB"/>
    <w:rsid w:val="39A66CD4"/>
    <w:rsid w:val="3CD52CE1"/>
    <w:rsid w:val="410F2E6A"/>
    <w:rsid w:val="4430136C"/>
    <w:rsid w:val="4AB0382B"/>
    <w:rsid w:val="569868B5"/>
    <w:rsid w:val="611F6817"/>
    <w:rsid w:val="66CA1754"/>
    <w:rsid w:val="67EB6479"/>
    <w:rsid w:val="6F1E65D4"/>
    <w:rsid w:val="6F266C86"/>
    <w:rsid w:val="6F5042C2"/>
    <w:rsid w:val="73BEBD0E"/>
    <w:rsid w:val="74316312"/>
    <w:rsid w:val="780F13C8"/>
    <w:rsid w:val="7C385448"/>
    <w:rsid w:val="7CB3663D"/>
    <w:rsid w:val="953018F5"/>
    <w:rsid w:val="9E4A485C"/>
    <w:rsid w:val="B7E9DCDB"/>
    <w:rsid w:val="BFE4796C"/>
    <w:rsid w:val="D7B61579"/>
    <w:rsid w:val="F5DA4409"/>
    <w:rsid w:val="F7A7DA3D"/>
    <w:rsid w:val="FAFF3319"/>
    <w:rsid w:val="FEFFA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 w:type="character" w:customStyle="1" w:styleId="2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ScaleCrop>false</ScaleCrop>
  <LinksUpToDate>false</LinksUpToDate>
  <CharactersWithSpaces>978</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apple</cp:lastModifiedBy>
  <cp:lastPrinted>2023-11-23T00:52:00Z</cp:lastPrinted>
  <dcterms:modified xsi:type="dcterms:W3CDTF">2024-04-24T20:56:50Z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