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B6DE8">
      <w:pPr>
        <w:jc w:val="center"/>
        <w:rPr>
          <w:rFonts w:ascii="黑体" w:hAnsi="黑体" w:eastAsia="黑体"/>
          <w:bCs/>
          <w:sz w:val="32"/>
          <w:szCs w:val="32"/>
        </w:rPr>
      </w:pPr>
      <w:r>
        <w:rPr>
          <w:rFonts w:hint="eastAsia" w:ascii="黑体" w:hAnsi="黑体" w:eastAsia="黑体"/>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bCs/>
          <w:sz w:val="32"/>
          <w:szCs w:val="32"/>
          <w:lang w:eastAsia="zh-CN"/>
        </w:rPr>
        <w:instrText xml:space="preserve">ADDIN CNKISM.UserStyle</w:instrText>
      </w:r>
      <w:r>
        <w:rPr>
          <w:rFonts w:hint="eastAsia" w:ascii="黑体" w:hAnsi="黑体" w:eastAsia="黑体"/>
          <w:bCs/>
          <w:sz w:val="32"/>
          <w:szCs w:val="32"/>
        </w:rPr>
        <w:fldChar w:fldCharType="separate"/>
      </w:r>
      <w:r>
        <w:rPr>
          <w:rFonts w:hint="eastAsia" w:ascii="黑体" w:hAnsi="黑体" w:eastAsia="黑体"/>
          <w:bCs/>
          <w:sz w:val="32"/>
          <w:szCs w:val="32"/>
        </w:rPr>
        <w:fldChar w:fldCharType="end"/>
      </w:r>
      <w:r>
        <w:rPr>
          <w:rFonts w:hint="eastAsia" w:ascii="黑体" w:hAnsi="黑体" w:eastAsia="黑体"/>
          <w:bCs/>
          <w:sz w:val="32"/>
          <w:szCs w:val="32"/>
        </w:rPr>
        <w:t>《社区护理学》本科课程教学大纲</w:t>
      </w:r>
    </w:p>
    <w:p w14:paraId="711A2228">
      <w:pPr>
        <w:pStyle w:val="19"/>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B4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41A43C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23806F4">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社区护理学</w:t>
            </w:r>
          </w:p>
        </w:tc>
      </w:tr>
      <w:tr w14:paraId="002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949ECB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AD75EC1">
            <w:pPr>
              <w:widowControl w:val="0"/>
              <w:jc w:val="left"/>
              <w:rPr>
                <w:color w:val="000000" w:themeColor="text1"/>
                <w:sz w:val="21"/>
                <w:szCs w:val="21"/>
                <w14:textFill>
                  <w14:solidFill>
                    <w14:schemeClr w14:val="tx1"/>
                  </w14:solidFill>
                </w14:textFill>
              </w:rPr>
            </w:pPr>
            <w:r>
              <w:rPr>
                <w:rFonts w:ascii="Times New Roman Regular" w:hAnsi="Times New Roman Regular" w:eastAsia="黑体" w:cs="Times New Roman Regular"/>
                <w:color w:val="000000" w:themeColor="text1"/>
                <w:sz w:val="21"/>
                <w:szCs w:val="21"/>
                <w14:textFill>
                  <w14:solidFill>
                    <w14:schemeClr w14:val="tx1"/>
                  </w14:solidFill>
                </w14:textFill>
              </w:rPr>
              <w:t>Community Nursing</w:t>
            </w:r>
          </w:p>
        </w:tc>
      </w:tr>
      <w:tr w14:paraId="09D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FE3822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CBB87D3">
            <w:pPr>
              <w:widowControl/>
              <w:jc w:val="both"/>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2070031</w:t>
            </w:r>
          </w:p>
        </w:tc>
        <w:tc>
          <w:tcPr>
            <w:tcW w:w="2126" w:type="dxa"/>
            <w:gridSpan w:val="2"/>
            <w:vAlign w:val="center"/>
          </w:tcPr>
          <w:p w14:paraId="6FBA288E">
            <w:pPr>
              <w:widowControl w:val="0"/>
              <w:jc w:val="center"/>
              <w:rPr>
                <w:rFonts w:ascii="Times New Roman" w:hAnsi="Times New Roman"/>
                <w:color w:val="000000"/>
                <w:sz w:val="20"/>
                <w:szCs w:val="20"/>
              </w:rPr>
            </w:pPr>
            <w:r>
              <w:rPr>
                <w:rFonts w:ascii="黑体" w:hAnsi="黑体" w:eastAsia="黑体" w:cs="宋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1486E613">
            <w:pPr>
              <w:widowControl w:val="0"/>
              <w:jc w:val="both"/>
              <w:rPr>
                <w:rFonts w:ascii="Times New Roman" w:hAnsi="Times New Roman"/>
                <w:color w:val="000000"/>
                <w:sz w:val="20"/>
                <w:szCs w:val="20"/>
              </w:rPr>
            </w:pPr>
            <w:r>
              <w:rPr>
                <w:rFonts w:asciiTheme="minorEastAsia" w:hAnsiTheme="minorEastAsia" w:eastAsiaTheme="minorEastAsia" w:cstheme="minorEastAsia"/>
                <w:color w:val="000000"/>
                <w:sz w:val="21"/>
                <w:szCs w:val="21"/>
              </w:rPr>
              <w:t>2</w:t>
            </w:r>
          </w:p>
        </w:tc>
      </w:tr>
      <w:tr w14:paraId="3C7E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592C3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B514CD3">
            <w:pPr>
              <w:widowControl/>
              <w:jc w:val="both"/>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32</w:t>
            </w:r>
          </w:p>
        </w:tc>
        <w:tc>
          <w:tcPr>
            <w:tcW w:w="1272" w:type="dxa"/>
            <w:vAlign w:val="center"/>
          </w:tcPr>
          <w:p w14:paraId="1A1B45F9">
            <w:pPr>
              <w:widowControl w:val="0"/>
              <w:jc w:val="center"/>
              <w:rPr>
                <w:rFonts w:ascii="Times New Roman" w:hAnsi="Times New Roman"/>
                <w:color w:val="000000"/>
                <w:sz w:val="20"/>
                <w:szCs w:val="20"/>
              </w:rPr>
            </w:pPr>
            <w:r>
              <w:rPr>
                <w:rFonts w:hint="default" w:ascii="黑体" w:hAnsi="黑体" w:eastAsia="黑体" w:cs="宋体"/>
                <w:color w:val="000000" w:themeColor="text1"/>
                <w:sz w:val="21"/>
                <w:szCs w:val="18"/>
                <w14:textFill>
                  <w14:solidFill>
                    <w14:schemeClr w14:val="tx1"/>
                  </w14:solidFill>
                </w14:textFill>
              </w:rPr>
              <w:t>理论学时</w:t>
            </w:r>
          </w:p>
        </w:tc>
        <w:tc>
          <w:tcPr>
            <w:tcW w:w="854" w:type="dxa"/>
            <w:vAlign w:val="center"/>
          </w:tcPr>
          <w:p w14:paraId="1983078D">
            <w:pPr>
              <w:widowControl w:val="0"/>
              <w:jc w:val="both"/>
              <w:rPr>
                <w:rFonts w:ascii="Times New Roman" w:hAnsi="Times New Roman"/>
                <w:color w:val="000000"/>
                <w:sz w:val="20"/>
                <w:szCs w:val="20"/>
              </w:rPr>
            </w:pPr>
            <w:r>
              <w:rPr>
                <w:rFonts w:asciiTheme="minorEastAsia" w:hAnsiTheme="minorEastAsia" w:eastAsiaTheme="minorEastAsia" w:cstheme="minorEastAsia"/>
                <w:color w:val="000000"/>
                <w:sz w:val="21"/>
                <w:szCs w:val="21"/>
              </w:rPr>
              <w:t>24</w:t>
            </w:r>
          </w:p>
        </w:tc>
        <w:tc>
          <w:tcPr>
            <w:tcW w:w="1413" w:type="dxa"/>
            <w:gridSpan w:val="2"/>
            <w:vAlign w:val="center"/>
          </w:tcPr>
          <w:p w14:paraId="4C7D7308">
            <w:pPr>
              <w:widowControl w:val="0"/>
              <w:jc w:val="center"/>
              <w:rPr>
                <w:rFonts w:ascii="Times New Roman" w:hAnsi="Times New Roman"/>
                <w:color w:val="000000"/>
                <w:sz w:val="20"/>
                <w:szCs w:val="20"/>
              </w:rPr>
            </w:pPr>
            <w:r>
              <w:rPr>
                <w:rFonts w:hint="default" w:ascii="黑体" w:hAnsi="黑体" w:eastAsia="黑体" w:cs="宋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4E9C89FC">
            <w:pPr>
              <w:widowControl w:val="0"/>
              <w:jc w:val="both"/>
              <w:rPr>
                <w:rFonts w:ascii="Times New Roman" w:hAnsi="Times New Roman"/>
                <w:color w:val="000000"/>
                <w:sz w:val="20"/>
                <w:szCs w:val="20"/>
              </w:rPr>
            </w:pPr>
            <w:r>
              <w:rPr>
                <w:rFonts w:asciiTheme="minorEastAsia" w:hAnsiTheme="minorEastAsia" w:eastAsiaTheme="minorEastAsia" w:cstheme="minorEastAsia"/>
                <w:color w:val="000000"/>
                <w:sz w:val="21"/>
                <w:szCs w:val="21"/>
              </w:rPr>
              <w:t>8</w:t>
            </w:r>
          </w:p>
        </w:tc>
      </w:tr>
      <w:tr w14:paraId="140A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15391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DAFC800">
            <w:pPr>
              <w:widowControl/>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健康管理学院</w:t>
            </w:r>
          </w:p>
        </w:tc>
        <w:tc>
          <w:tcPr>
            <w:tcW w:w="2126" w:type="dxa"/>
            <w:gridSpan w:val="2"/>
            <w:vAlign w:val="center"/>
          </w:tcPr>
          <w:p w14:paraId="681D2071">
            <w:pPr>
              <w:widowControl w:val="0"/>
              <w:jc w:val="center"/>
              <w:rPr>
                <w:rFonts w:ascii="Times New Roman" w:hAnsi="Times New Roman"/>
                <w:color w:val="000000"/>
                <w:sz w:val="20"/>
                <w:szCs w:val="20"/>
              </w:rPr>
            </w:pPr>
            <w:r>
              <w:rPr>
                <w:rFonts w:hint="default" w:ascii="黑体" w:hAnsi="黑体" w:eastAsia="黑体" w:cs="宋体"/>
                <w:color w:val="000000" w:themeColor="text1"/>
                <w:sz w:val="21"/>
                <w:szCs w:val="18"/>
                <w14:textFill>
                  <w14:solidFill>
                    <w14:schemeClr w14:val="tx1"/>
                  </w14:solidFill>
                </w14:textFill>
              </w:rPr>
              <w:t>适用</w:t>
            </w:r>
            <w:r>
              <w:rPr>
                <w:rFonts w:ascii="黑体" w:hAnsi="黑体" w:eastAsia="黑体" w:cs="宋体"/>
                <w:color w:val="000000" w:themeColor="text1"/>
                <w:sz w:val="21"/>
                <w:szCs w:val="18"/>
                <w14:textFill>
                  <w14:solidFill>
                    <w14:schemeClr w14:val="tx1"/>
                  </w14:solidFill>
                </w14:textFill>
              </w:rPr>
              <w:t>专业</w:t>
            </w:r>
            <w:r>
              <w:rPr>
                <w:rFonts w:hint="default" w:ascii="黑体" w:hAnsi="黑体" w:eastAsia="黑体" w:cs="宋体"/>
                <w:color w:val="000000" w:themeColor="text1"/>
                <w:sz w:val="21"/>
                <w:szCs w:val="18"/>
                <w14:textFill>
                  <w14:solidFill>
                    <w14:schemeClr w14:val="tx1"/>
                  </w14:solidFill>
                </w14:textFill>
              </w:rPr>
              <w:t>与年级</w:t>
            </w:r>
          </w:p>
        </w:tc>
        <w:tc>
          <w:tcPr>
            <w:tcW w:w="2199" w:type="dxa"/>
            <w:gridSpan w:val="3"/>
            <w:tcBorders>
              <w:right w:val="single" w:color="auto" w:sz="12" w:space="0"/>
            </w:tcBorders>
            <w:vAlign w:val="center"/>
          </w:tcPr>
          <w:p w14:paraId="45F4B321">
            <w:pPr>
              <w:widowControl/>
              <w:jc w:val="both"/>
              <w:rPr>
                <w:rFonts w:ascii="Times New Roman" w:hAnsi="Times New Roman"/>
                <w:color w:val="000000"/>
                <w:sz w:val="21"/>
                <w:szCs w:val="21"/>
              </w:rPr>
            </w:pPr>
            <w:r>
              <w:rPr>
                <w:rFonts w:hint="eastAsia" w:ascii="Times New Roman" w:hAnsi="Times New Roman"/>
                <w:color w:val="000000"/>
                <w:sz w:val="21"/>
                <w:szCs w:val="21"/>
              </w:rPr>
              <w:t>护理学三年级</w:t>
            </w:r>
          </w:p>
        </w:tc>
      </w:tr>
      <w:tr w14:paraId="320C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7E23C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00A1CB2">
            <w:pPr>
              <w:widowControl/>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专业必修课</w:t>
            </w:r>
          </w:p>
        </w:tc>
        <w:tc>
          <w:tcPr>
            <w:tcW w:w="2126" w:type="dxa"/>
            <w:gridSpan w:val="2"/>
            <w:vAlign w:val="center"/>
          </w:tcPr>
          <w:p w14:paraId="29585278">
            <w:pPr>
              <w:widowControl w:val="0"/>
              <w:jc w:val="center"/>
              <w:rPr>
                <w:rFonts w:ascii="Times New Roman" w:hAnsi="Times New Roman"/>
                <w:color w:val="000000"/>
                <w:sz w:val="20"/>
                <w:szCs w:val="20"/>
              </w:rPr>
            </w:pPr>
            <w:r>
              <w:rPr>
                <w:rFonts w:hint="default" w:ascii="黑体" w:hAnsi="黑体" w:eastAsia="黑体" w:cs="宋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6FD7F37F">
            <w:pPr>
              <w:widowControl/>
              <w:jc w:val="both"/>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考</w:t>
            </w:r>
            <w:r>
              <w:rPr>
                <w:rFonts w:hint="eastAsia" w:ascii="Times New Roman" w:hAnsi="Times New Roman"/>
                <w:color w:val="000000"/>
                <w:sz w:val="21"/>
                <w:szCs w:val="21"/>
                <w:lang w:val="en-US" w:eastAsia="zh-CN"/>
              </w:rPr>
              <w:t>查</w:t>
            </w:r>
          </w:p>
        </w:tc>
      </w:tr>
      <w:tr w14:paraId="5721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2A1C7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A3BEFE9">
            <w:pPr>
              <w:widowControl w:val="0"/>
              <w:jc w:val="left"/>
              <w:rPr>
                <w:rFonts w:ascii="Times New Roman" w:hAnsi="Times New Roman"/>
                <w:color w:val="000000"/>
                <w:sz w:val="20"/>
                <w:szCs w:val="20"/>
              </w:rPr>
            </w:pPr>
            <w:r>
              <w:rPr>
                <w:rFonts w:hint="eastAsia" w:asciiTheme="minorEastAsia" w:hAnsiTheme="minorEastAsia" w:eastAsiaTheme="minorEastAsia" w:cstheme="minorEastAsia"/>
                <w:color w:val="000000"/>
                <w:sz w:val="21"/>
                <w:szCs w:val="21"/>
              </w:rPr>
              <w:t>《社区护理学》主编</w:t>
            </w:r>
            <w:r>
              <w:rPr>
                <w:rFonts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姜丽萍</w:t>
            </w:r>
            <w:r>
              <w:rPr>
                <w:rFonts w:hint="default" w:asciiTheme="minorEastAsia" w:hAnsiTheme="minorEastAsia" w:eastAsiaTheme="minorEastAsia" w:cstheme="minorEastAsia"/>
                <w:color w:val="000000"/>
                <w:sz w:val="21"/>
                <w:szCs w:val="21"/>
                <w:lang w:val="en-US"/>
              </w:rPr>
              <w:t>ISBN</w:t>
            </w:r>
            <w:r>
              <w:rPr>
                <w:rFonts w:asciiTheme="minorEastAsia" w:hAnsiTheme="minorEastAsia" w:eastAsiaTheme="minorEastAsia" w:cstheme="minorEastAsia"/>
                <w:color w:val="000000"/>
                <w:sz w:val="21"/>
                <w:szCs w:val="21"/>
              </w:rPr>
              <w:t xml:space="preserve">9787117324793 </w:t>
            </w:r>
            <w:r>
              <w:rPr>
                <w:rFonts w:hint="eastAsia" w:asciiTheme="minorEastAsia" w:hAnsiTheme="minorEastAsia" w:eastAsiaTheme="minorEastAsia" w:cstheme="minorEastAsia"/>
                <w:color w:val="000000"/>
                <w:sz w:val="21"/>
                <w:szCs w:val="21"/>
              </w:rPr>
              <w:t>人民卫生出版社</w:t>
            </w:r>
            <w:r>
              <w:rPr>
                <w:rFonts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第五版</w:t>
            </w:r>
          </w:p>
        </w:tc>
        <w:tc>
          <w:tcPr>
            <w:tcW w:w="1413" w:type="dxa"/>
            <w:gridSpan w:val="2"/>
            <w:vAlign w:val="center"/>
          </w:tcPr>
          <w:p w14:paraId="62436CDD">
            <w:pPr>
              <w:widowControl w:val="0"/>
              <w:jc w:val="center"/>
              <w:rPr>
                <w:rFonts w:ascii="黑体" w:hAnsi="黑体" w:eastAsia="黑体" w:cs="宋体"/>
                <w:color w:val="000000" w:themeColor="text1"/>
                <w:sz w:val="21"/>
                <w:szCs w:val="18"/>
                <w14:textFill>
                  <w14:solidFill>
                    <w14:schemeClr w14:val="tx1"/>
                  </w14:solidFill>
                </w14:textFill>
              </w:rPr>
            </w:pPr>
            <w:r>
              <w:rPr>
                <w:rFonts w:hint="default" w:ascii="黑体" w:hAnsi="黑体" w:eastAsia="黑体" w:cs="宋体"/>
                <w:color w:val="000000" w:themeColor="text1"/>
                <w:sz w:val="21"/>
                <w:szCs w:val="18"/>
                <w14:textFill>
                  <w14:solidFill>
                    <w14:schemeClr w14:val="tx1"/>
                  </w14:solidFill>
                </w14:textFill>
              </w:rPr>
              <w:t>是否为</w:t>
            </w:r>
          </w:p>
          <w:p w14:paraId="05151658">
            <w:pPr>
              <w:widowControl w:val="0"/>
              <w:jc w:val="center"/>
              <w:rPr>
                <w:rFonts w:ascii="Times New Roman" w:hAnsi="Times New Roman"/>
                <w:color w:val="000000"/>
                <w:sz w:val="20"/>
                <w:szCs w:val="20"/>
              </w:rPr>
            </w:pPr>
            <w:r>
              <w:rPr>
                <w:rFonts w:hint="default" w:ascii="黑体" w:hAnsi="黑体" w:eastAsia="黑体" w:cs="宋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74F60923">
            <w:pPr>
              <w:widowControl w:val="0"/>
              <w:ind w:left="0" w:leftChars="0"/>
              <w:jc w:val="left"/>
              <w:rPr>
                <w:rFonts w:ascii="Times New Roman" w:hAnsi="Times New Roman"/>
                <w:color w:val="000000"/>
                <w:sz w:val="20"/>
                <w:szCs w:val="20"/>
              </w:rPr>
            </w:pPr>
            <w:r>
              <w:rPr>
                <w:rFonts w:hint="eastAsia" w:ascii="Times New Roman" w:hAnsi="Times New Roman"/>
                <w:color w:val="000000"/>
                <w:sz w:val="21"/>
                <w:szCs w:val="21"/>
              </w:rPr>
              <w:t>否</w:t>
            </w:r>
          </w:p>
        </w:tc>
      </w:tr>
      <w:tr w14:paraId="40A9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8" w:hRule="atLeast"/>
        </w:trPr>
        <w:tc>
          <w:tcPr>
            <w:tcW w:w="1691" w:type="dxa"/>
            <w:tcBorders>
              <w:left w:val="single" w:color="auto" w:sz="12" w:space="0"/>
            </w:tcBorders>
            <w:shd w:val="clear" w:color="auto" w:fill="auto"/>
            <w:vAlign w:val="center"/>
          </w:tcPr>
          <w:p w14:paraId="7CE2D8E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3AC2E02">
            <w:pPr>
              <w:pStyle w:val="17"/>
              <w:widowControl w:val="0"/>
              <w:jc w:val="both"/>
              <w:rPr>
                <w:sz w:val="20"/>
                <w:szCs w:val="20"/>
              </w:rPr>
            </w:pPr>
            <w:r>
              <w:rPr>
                <w:rFonts w:hint="eastAsia" w:asciiTheme="minorEastAsia" w:hAnsiTheme="minorEastAsia" w:eastAsiaTheme="minorEastAsia" w:cstheme="minorEastAsia"/>
                <w:sz w:val="21"/>
                <w:szCs w:val="21"/>
              </w:rPr>
              <w:t>人体解剖学</w:t>
            </w:r>
            <w:r>
              <w:rPr>
                <w:rFonts w:hint="eastAsia" w:asciiTheme="minorEastAsia" w:hAnsiTheme="minorEastAsia" w:eastAsiaTheme="minorEastAsia" w:cstheme="minorEastAsia"/>
                <w:sz w:val="21"/>
                <w:szCs w:val="21"/>
                <w:lang w:val="en-US" w:eastAsia="zh-CN"/>
              </w:rPr>
              <w:t>2070001（6）</w:t>
            </w:r>
            <w:r>
              <w:rPr>
                <w:rFonts w:hint="eastAsia" w:asciiTheme="minorEastAsia" w:hAnsiTheme="minorEastAsia" w:eastAsiaTheme="minorEastAsia" w:cstheme="minorEastAsia"/>
                <w:sz w:val="21"/>
                <w:szCs w:val="21"/>
              </w:rPr>
              <w:t>、组织胚胎学</w:t>
            </w:r>
            <w:r>
              <w:rPr>
                <w:rFonts w:hint="eastAsia" w:asciiTheme="minorEastAsia" w:hAnsiTheme="minorEastAsia" w:eastAsiaTheme="minorEastAsia" w:cstheme="minorEastAsia"/>
                <w:sz w:val="21"/>
                <w:szCs w:val="21"/>
                <w:lang w:val="en-US" w:eastAsia="zh-CN"/>
              </w:rPr>
              <w:t>2070002（2）</w:t>
            </w:r>
            <w:r>
              <w:rPr>
                <w:rFonts w:hint="eastAsia" w:asciiTheme="minorEastAsia" w:hAnsiTheme="minorEastAsia" w:eastAsiaTheme="minorEastAsia" w:cstheme="minorEastAsia"/>
                <w:sz w:val="21"/>
                <w:szCs w:val="21"/>
              </w:rPr>
              <w:t>、生理学</w:t>
            </w:r>
            <w:r>
              <w:rPr>
                <w:rFonts w:hint="eastAsia" w:asciiTheme="minorEastAsia" w:hAnsiTheme="minorEastAsia" w:eastAsiaTheme="minorEastAsia" w:cstheme="minorEastAsia"/>
                <w:sz w:val="21"/>
                <w:szCs w:val="21"/>
                <w:lang w:val="en-US" w:eastAsia="zh-CN"/>
              </w:rPr>
              <w:t>2070003（4）</w:t>
            </w:r>
            <w:r>
              <w:rPr>
                <w:rFonts w:hint="eastAsia" w:asciiTheme="minorEastAsia" w:hAnsiTheme="minorEastAsia" w:eastAsiaTheme="minorEastAsia" w:cstheme="minorEastAsia"/>
                <w:sz w:val="21"/>
                <w:szCs w:val="21"/>
              </w:rPr>
              <w:t>、病理学与病理生理学</w:t>
            </w:r>
            <w:r>
              <w:rPr>
                <w:rFonts w:hint="eastAsia" w:asciiTheme="minorEastAsia" w:hAnsiTheme="minorEastAsia" w:eastAsiaTheme="minorEastAsia" w:cstheme="minorEastAsia"/>
                <w:sz w:val="21"/>
                <w:szCs w:val="21"/>
                <w:lang w:val="en-US" w:eastAsia="zh-CN"/>
              </w:rPr>
              <w:t>2170089（2）</w:t>
            </w:r>
            <w:r>
              <w:rPr>
                <w:rFonts w:hint="eastAsia" w:asciiTheme="minorEastAsia" w:hAnsiTheme="minorEastAsia" w:eastAsiaTheme="minorEastAsia" w:cstheme="minorEastAsia"/>
                <w:sz w:val="21"/>
                <w:szCs w:val="21"/>
              </w:rPr>
              <w:t>、药理学</w:t>
            </w:r>
            <w:r>
              <w:rPr>
                <w:rFonts w:hint="eastAsia" w:asciiTheme="minorEastAsia" w:hAnsiTheme="minorEastAsia" w:eastAsiaTheme="minorEastAsia" w:cstheme="minorEastAsia"/>
                <w:sz w:val="21"/>
                <w:szCs w:val="21"/>
                <w:lang w:val="en-US" w:eastAsia="zh-CN"/>
              </w:rPr>
              <w:t>2070006（3）</w:t>
            </w:r>
            <w:r>
              <w:rPr>
                <w:rFonts w:hint="eastAsia" w:asciiTheme="minorEastAsia" w:hAnsiTheme="minorEastAsia" w:eastAsiaTheme="minorEastAsia" w:cstheme="minorEastAsia"/>
                <w:sz w:val="21"/>
                <w:szCs w:val="21"/>
              </w:rPr>
              <w:t>、健康评估</w:t>
            </w:r>
            <w:r>
              <w:rPr>
                <w:rFonts w:hint="eastAsia" w:asciiTheme="minorEastAsia" w:hAnsiTheme="minorEastAsia" w:eastAsiaTheme="minorEastAsia" w:cstheme="minorEastAsia"/>
                <w:sz w:val="21"/>
                <w:szCs w:val="21"/>
                <w:lang w:val="en-US" w:eastAsia="zh-CN"/>
              </w:rPr>
              <w:t>2070017（4）</w:t>
            </w:r>
            <w:r>
              <w:rPr>
                <w:rFonts w:hint="eastAsia" w:asciiTheme="minorEastAsia" w:hAnsiTheme="minorEastAsia" w:eastAsiaTheme="minorEastAsia" w:cstheme="minorEastAsia"/>
                <w:sz w:val="21"/>
                <w:szCs w:val="21"/>
              </w:rPr>
              <w:t>、基础护理学</w:t>
            </w:r>
            <w:r>
              <w:rPr>
                <w:rFonts w:hint="eastAsia" w:asciiTheme="minorEastAsia" w:hAnsiTheme="minorEastAsia" w:eastAsiaTheme="minorEastAsia" w:cstheme="minorEastAsia"/>
                <w:sz w:val="21"/>
                <w:szCs w:val="21"/>
                <w:lang w:val="en-US" w:eastAsia="zh-CN"/>
              </w:rPr>
              <w:t>12070018（4）</w:t>
            </w:r>
          </w:p>
        </w:tc>
      </w:tr>
      <w:tr w14:paraId="406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13" w:hRule="atLeast"/>
        </w:trPr>
        <w:tc>
          <w:tcPr>
            <w:tcW w:w="1691" w:type="dxa"/>
            <w:tcBorders>
              <w:left w:val="single" w:color="auto" w:sz="12" w:space="0"/>
            </w:tcBorders>
            <w:shd w:val="clear" w:color="auto" w:fill="auto"/>
            <w:vAlign w:val="center"/>
          </w:tcPr>
          <w:p w14:paraId="64FD714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45CB8F7">
            <w:pPr>
              <w:widowControl w:val="0"/>
              <w:spacing w:beforeLines="50" w:afterLines="50" w:line="240" w:lineRule="auto"/>
              <w:ind w:firstLine="420" w:firstLineChars="200"/>
              <w:jc w:val="both"/>
              <w:rPr>
                <w:rFonts w:hint="eastAsia" w:ascii="Times New Roman" w:hAnsi="Times New Roman"/>
                <w:color w:val="000000"/>
                <w:sz w:val="21"/>
                <w:szCs w:val="21"/>
                <w:lang w:eastAsia="zh-CN"/>
              </w:rPr>
            </w:pPr>
            <w:r>
              <w:rPr>
                <w:rFonts w:hint="eastAsia" w:ascii="Times New Roman" w:hAnsi="Times New Roman"/>
                <w:color w:val="000000"/>
                <w:sz w:val="21"/>
                <w:szCs w:val="21"/>
              </w:rPr>
              <w:t>社区护理是一门融护理学和公共卫生学为一体的应用型护理学科。社区护理学以社区为基础、以人群为对象、以服务为中心，将医疗、预防、保健、康复、健康教育、计划生育技术等融于护理学中，并以促进和维护社区人群健康为最终目的，提供连续性的、动态的和综合的护理服务。社区护理作为护理领域中新兴的重要学科，已经成为国家公共卫生体系的重要组成部分，该课程将以个体、家庭、和社区健康为主线，介绍和讨论社区护理的理论基本理论，基本知识和基本技能，体现社区护理的特点。是培养社区护理专业人才的重要课程，为将来从事社区护理工作，促进社区护理的发展及护理学学科发展具有十分重要的现实意义</w:t>
            </w:r>
            <w:r>
              <w:rPr>
                <w:rFonts w:hint="eastAsia" w:ascii="Times New Roman" w:hAnsi="Times New Roman"/>
                <w:color w:val="000000"/>
                <w:sz w:val="21"/>
                <w:szCs w:val="21"/>
                <w:lang w:eastAsia="zh-CN"/>
              </w:rPr>
              <w:t>。</w:t>
            </w:r>
          </w:p>
        </w:tc>
      </w:tr>
      <w:tr w14:paraId="2001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 w:hRule="atLeast"/>
        </w:trPr>
        <w:tc>
          <w:tcPr>
            <w:tcW w:w="1691" w:type="dxa"/>
            <w:tcBorders>
              <w:left w:val="single" w:color="auto" w:sz="12" w:space="0"/>
              <w:bottom w:val="double" w:color="auto" w:sz="4" w:space="0"/>
            </w:tcBorders>
            <w:shd w:val="clear" w:color="auto" w:fill="auto"/>
            <w:vAlign w:val="center"/>
          </w:tcPr>
          <w:p w14:paraId="1A6BCA0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DAD7940">
            <w:pPr>
              <w:widowControl w:val="0"/>
              <w:spacing w:line="240" w:lineRule="auto"/>
              <w:ind w:firstLine="420" w:firstLineChars="200"/>
              <w:jc w:val="both"/>
              <w:rPr>
                <w:rFonts w:ascii="Times New Roman" w:hAnsi="Times New Roman"/>
                <w:color w:val="000000"/>
                <w:sz w:val="20"/>
                <w:szCs w:val="20"/>
              </w:rPr>
            </w:pPr>
            <w:r>
              <w:rPr>
                <w:rFonts w:hint="eastAsia" w:ascii="Times New Roman" w:hAnsi="Times New Roman"/>
                <w:color w:val="000000"/>
                <w:sz w:val="21"/>
                <w:szCs w:val="21"/>
              </w:rPr>
              <w:t>社区护理是在护理学、医学、公共卫生学、预防医学、康复医学等相关学科理论基础上所发展的新兴学科。社区护理是衔接基础与临床的重要专业课程。本课程在安排在护理学专业三年级第二学期。</w:t>
            </w:r>
          </w:p>
        </w:tc>
      </w:tr>
      <w:tr w14:paraId="7E13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trPr>
        <w:tc>
          <w:tcPr>
            <w:tcW w:w="1691" w:type="dxa"/>
            <w:tcBorders>
              <w:top w:val="double" w:color="auto" w:sz="4" w:space="0"/>
              <w:left w:val="single" w:color="auto" w:sz="12" w:space="0"/>
            </w:tcBorders>
            <w:shd w:val="clear" w:color="auto" w:fill="auto"/>
            <w:vAlign w:val="center"/>
          </w:tcPr>
          <w:p w14:paraId="1BCA7B0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A7EE307">
            <w:pPr>
              <w:widowControl w:val="0"/>
              <w:jc w:val="center"/>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88975" cy="384810"/>
                  <wp:effectExtent l="0" t="0" r="0" b="15240"/>
                  <wp:docPr id="1" name="图片 1" descr="348479234ee17e1ea1c7695858143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8479234ee17e1ea1c7695858143c77"/>
                          <pic:cNvPicPr>
                            <a:picLocks noChangeAspect="1"/>
                          </pic:cNvPicPr>
                        </pic:nvPicPr>
                        <pic:blipFill>
                          <a:blip r:embed="rId5"/>
                          <a:stretch>
                            <a:fillRect/>
                          </a:stretch>
                        </pic:blipFill>
                        <pic:spPr>
                          <a:xfrm>
                            <a:off x="0" y="0"/>
                            <a:ext cx="688975" cy="384810"/>
                          </a:xfrm>
                          <a:prstGeom prst="rect">
                            <a:avLst/>
                          </a:prstGeom>
                        </pic:spPr>
                      </pic:pic>
                    </a:graphicData>
                  </a:graphic>
                </wp:inline>
              </w:drawing>
            </w:r>
          </w:p>
        </w:tc>
        <w:tc>
          <w:tcPr>
            <w:tcW w:w="1425" w:type="dxa"/>
            <w:gridSpan w:val="2"/>
            <w:tcBorders>
              <w:top w:val="double" w:color="auto" w:sz="4" w:space="0"/>
            </w:tcBorders>
            <w:vAlign w:val="center"/>
          </w:tcPr>
          <w:p w14:paraId="0461485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2CFB7FB">
            <w:pPr>
              <w:widowControl w:val="0"/>
              <w:jc w:val="center"/>
              <w:rPr>
                <w:rFonts w:hint="default" w:ascii="Times New Roman" w:hAnsi="Times New Roman" w:eastAsia="宋体"/>
                <w:color w:val="000000"/>
                <w:sz w:val="21"/>
                <w:szCs w:val="21"/>
                <w:lang w:val="en-US" w:eastAsia="zh-CN"/>
              </w:rPr>
            </w:pPr>
            <w:r>
              <w:rPr>
                <w:rFonts w:hint="default" w:ascii="Times New Roman" w:hAnsi="Times New Roman"/>
                <w:color w:val="000000"/>
                <w:sz w:val="21"/>
                <w:szCs w:val="21"/>
                <w:lang w:val="en-US"/>
              </w:rPr>
              <w:t>202</w:t>
            </w:r>
            <w:r>
              <w:rPr>
                <w:rFonts w:hint="eastAsia" w:ascii="Times New Roman" w:hAnsi="Times New Roman"/>
                <w:color w:val="000000"/>
                <w:sz w:val="21"/>
                <w:szCs w:val="21"/>
                <w:lang w:val="en-US" w:eastAsia="zh-CN"/>
              </w:rPr>
              <w:t>6</w:t>
            </w:r>
            <w:r>
              <w:rPr>
                <w:rFonts w:hint="default" w:ascii="Times New Roman" w:hAnsi="Times New Roman"/>
                <w:color w:val="000000"/>
                <w:sz w:val="21"/>
                <w:szCs w:val="21"/>
                <w:lang w:val="en-US"/>
              </w:rPr>
              <w:t>.</w:t>
            </w:r>
            <w:r>
              <w:rPr>
                <w:rFonts w:hint="eastAsia" w:ascii="Times New Roman" w:hAnsi="Times New Roman"/>
                <w:color w:val="000000"/>
                <w:sz w:val="21"/>
                <w:szCs w:val="21"/>
                <w:lang w:val="en-US" w:eastAsia="zh-CN"/>
              </w:rPr>
              <w:t>2.27</w:t>
            </w:r>
          </w:p>
        </w:tc>
      </w:tr>
      <w:tr w14:paraId="7595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2C036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D6EA030">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66420" cy="309880"/>
                  <wp:effectExtent l="0" t="0" r="5080" b="13970"/>
                  <wp:docPr id="3" name="图片 3" descr="衣玉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衣玉丽"/>
                          <pic:cNvPicPr>
                            <a:picLocks noChangeAspect="1"/>
                          </pic:cNvPicPr>
                        </pic:nvPicPr>
                        <pic:blipFill>
                          <a:blip r:embed="rId6"/>
                          <a:stretch>
                            <a:fillRect/>
                          </a:stretch>
                        </pic:blipFill>
                        <pic:spPr>
                          <a:xfrm>
                            <a:off x="0" y="0"/>
                            <a:ext cx="566420" cy="309880"/>
                          </a:xfrm>
                          <a:prstGeom prst="rect">
                            <a:avLst/>
                          </a:prstGeom>
                        </pic:spPr>
                      </pic:pic>
                    </a:graphicData>
                  </a:graphic>
                </wp:inline>
              </w:drawing>
            </w:r>
          </w:p>
        </w:tc>
        <w:tc>
          <w:tcPr>
            <w:tcW w:w="1425" w:type="dxa"/>
            <w:gridSpan w:val="2"/>
            <w:vAlign w:val="center"/>
          </w:tcPr>
          <w:p w14:paraId="6A591F6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A0F3C47">
            <w:pPr>
              <w:widowControl w:val="0"/>
              <w:jc w:val="center"/>
              <w:rPr>
                <w:rFonts w:hint="default" w:ascii="Times New Roman" w:hAnsi="Times New Roman"/>
                <w:color w:val="000000"/>
                <w:sz w:val="21"/>
                <w:szCs w:val="21"/>
                <w:lang w:val="en-US"/>
              </w:rPr>
            </w:pPr>
            <w:r>
              <w:rPr>
                <w:rFonts w:hint="default" w:ascii="Times New Roman" w:hAnsi="Times New Roman"/>
                <w:color w:val="000000"/>
                <w:sz w:val="21"/>
                <w:szCs w:val="21"/>
                <w:lang w:val="en-US"/>
              </w:rPr>
              <w:t>202</w:t>
            </w:r>
            <w:r>
              <w:rPr>
                <w:rFonts w:hint="eastAsia" w:ascii="Times New Roman" w:hAnsi="Times New Roman"/>
                <w:color w:val="000000"/>
                <w:sz w:val="21"/>
                <w:szCs w:val="21"/>
                <w:lang w:val="en-US" w:eastAsia="zh-CN"/>
              </w:rPr>
              <w:t>6.3.6</w:t>
            </w:r>
          </w:p>
        </w:tc>
      </w:tr>
      <w:tr w14:paraId="4131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1" w:hRule="atLeast"/>
        </w:trPr>
        <w:tc>
          <w:tcPr>
            <w:tcW w:w="1691" w:type="dxa"/>
            <w:tcBorders>
              <w:left w:val="single" w:color="auto" w:sz="12" w:space="0"/>
              <w:bottom w:val="single" w:color="auto" w:sz="12" w:space="0"/>
            </w:tcBorders>
            <w:shd w:val="clear" w:color="auto" w:fill="auto"/>
            <w:vAlign w:val="center"/>
          </w:tcPr>
          <w:p w14:paraId="6E94C8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55516EC">
            <w:pPr>
              <w:widowControl w:val="0"/>
              <w:ind w:firstLine="630" w:firstLineChars="300"/>
              <w:jc w:val="both"/>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96570" cy="309880"/>
                  <wp:effectExtent l="0" t="0" r="0" b="13970"/>
                  <wp:docPr id="4" name="图片 4" descr="c295a143e44acbb9328df7a67db9e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295a143e44acbb9328df7a67db9e7b7"/>
                          <pic:cNvPicPr>
                            <a:picLocks noChangeAspect="1"/>
                          </pic:cNvPicPr>
                        </pic:nvPicPr>
                        <pic:blipFill>
                          <a:blip r:embed="rId7"/>
                          <a:stretch>
                            <a:fillRect/>
                          </a:stretch>
                        </pic:blipFill>
                        <pic:spPr>
                          <a:xfrm>
                            <a:off x="0" y="0"/>
                            <a:ext cx="496570" cy="30988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B5D529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DF68D5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2026.3.9</w:t>
            </w:r>
            <w:bookmarkStart w:id="6" w:name="_GoBack"/>
            <w:bookmarkEnd w:id="6"/>
          </w:p>
        </w:tc>
      </w:tr>
    </w:tbl>
    <w:p w14:paraId="059A6D13">
      <w:pPr>
        <w:spacing w:line="100" w:lineRule="exact"/>
        <w:rPr>
          <w:rFonts w:ascii="Arial" w:hAnsi="Arial" w:eastAsia="黑体"/>
        </w:rPr>
      </w:pPr>
      <w:r>
        <w:br w:type="page"/>
      </w:r>
    </w:p>
    <w:p w14:paraId="79AD552A">
      <w:pPr>
        <w:pStyle w:val="19"/>
        <w:spacing w:beforeLines="100" w:line="360" w:lineRule="auto"/>
        <w:rPr>
          <w:rFonts w:ascii="黑体" w:hAnsi="宋体"/>
        </w:rPr>
      </w:pPr>
      <w:r>
        <w:rPr>
          <w:rFonts w:hint="eastAsia" w:ascii="黑体" w:hAnsi="宋体"/>
        </w:rPr>
        <w:t>二、课程目标与毕业要求</w:t>
      </w:r>
    </w:p>
    <w:p w14:paraId="113662C0">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EBF2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0E602D7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E79812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4EE329C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DEEE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559" w:hRule="atLeast"/>
          <w:jc w:val="center"/>
        </w:trPr>
        <w:tc>
          <w:tcPr>
            <w:tcW w:w="1236" w:type="dxa"/>
            <w:vAlign w:val="center"/>
          </w:tcPr>
          <w:p w14:paraId="31B1DBD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DC9216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6953723B">
            <w:pPr>
              <w:pStyle w:val="17"/>
              <w:tabs>
                <w:tab w:val="center" w:pos="4153"/>
                <w:tab w:val="right" w:pos="8306"/>
              </w:tabs>
              <w:snapToGrid w:val="0"/>
              <w:jc w:val="left"/>
              <w:rPr>
                <w:rFonts w:hint="eastAsia" w:ascii="宋体" w:hAnsi="宋体"/>
                <w:sz w:val="21"/>
                <w:szCs w:val="21"/>
              </w:rPr>
            </w:pPr>
            <w:r>
              <w:rPr>
                <w:rFonts w:hint="eastAsia" w:ascii="宋体" w:hAnsi="宋体"/>
                <w:sz w:val="21"/>
                <w:szCs w:val="21"/>
              </w:rPr>
              <w:t>理解</w:t>
            </w:r>
            <w:r>
              <w:rPr>
                <w:rFonts w:hint="eastAsia" w:ascii="宋体" w:hAnsi="宋体"/>
                <w:sz w:val="21"/>
                <w:szCs w:val="21"/>
                <w:lang w:val="en-US" w:eastAsia="zh-CN"/>
              </w:rPr>
              <w:t>学习社区</w:t>
            </w:r>
            <w:r>
              <w:rPr>
                <w:rFonts w:hint="eastAsia" w:ascii="宋体" w:hAnsi="宋体"/>
                <w:sz w:val="21"/>
                <w:szCs w:val="21"/>
              </w:rPr>
              <w:t>护理学的目的、内容和方法。知道</w:t>
            </w:r>
            <w:r>
              <w:rPr>
                <w:rFonts w:hint="eastAsia" w:ascii="宋体" w:hAnsi="宋体"/>
                <w:sz w:val="21"/>
                <w:szCs w:val="21"/>
                <w:lang w:val="en-US" w:eastAsia="zh-CN"/>
              </w:rPr>
              <w:t>社区护理工作方法，</w:t>
            </w:r>
          </w:p>
          <w:p w14:paraId="56FACD31">
            <w:pPr>
              <w:pStyle w:val="17"/>
              <w:tabs>
                <w:tab w:val="center" w:pos="4153"/>
                <w:tab w:val="right" w:pos="8306"/>
              </w:tabs>
              <w:snapToGrid w:val="0"/>
              <w:jc w:val="left"/>
              <w:rPr>
                <w:rFonts w:ascii="宋体" w:hAnsi="宋体"/>
                <w:sz w:val="21"/>
                <w:szCs w:val="21"/>
              </w:rPr>
            </w:pPr>
            <w:r>
              <w:rPr>
                <w:rFonts w:hint="eastAsia" w:ascii="宋体" w:hAnsi="宋体"/>
                <w:sz w:val="21"/>
                <w:szCs w:val="21"/>
              </w:rPr>
              <w:t>知道</w:t>
            </w:r>
            <w:r>
              <w:rPr>
                <w:rFonts w:hint="eastAsia" w:ascii="宋体" w:hAnsi="宋体"/>
                <w:sz w:val="21"/>
                <w:szCs w:val="21"/>
                <w:lang w:val="en-US" w:eastAsia="zh-CN"/>
              </w:rPr>
              <w:t>社区健康管理，社区健康教育与健康促进，知道社区家庭健康管理，社区儿童、青少年、妇女、老年人群、慢性病人、伤残病人的</w:t>
            </w:r>
            <w:r>
              <w:rPr>
                <w:rFonts w:hint="eastAsia" w:ascii="宋体" w:hAnsi="宋体"/>
                <w:sz w:val="21"/>
                <w:szCs w:val="21"/>
              </w:rPr>
              <w:t>护理</w:t>
            </w:r>
            <w:r>
              <w:rPr>
                <w:rFonts w:hint="eastAsia" w:ascii="宋体" w:hAnsi="宋体"/>
                <w:sz w:val="21"/>
                <w:szCs w:val="21"/>
                <w:lang w:val="en-US" w:eastAsia="zh-CN"/>
              </w:rPr>
              <w:t>以及社区安宁疗护、突发公共卫生事件管理及社区健康信息化等管理内容。</w:t>
            </w:r>
          </w:p>
        </w:tc>
      </w:tr>
      <w:tr w14:paraId="6A01C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2D14D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246FD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05B2EAAF">
            <w:pPr>
              <w:pStyle w:val="17"/>
              <w:tabs>
                <w:tab w:val="center" w:pos="4153"/>
                <w:tab w:val="right" w:pos="8306"/>
              </w:tabs>
              <w:snapToGrid w:val="0"/>
              <w:jc w:val="left"/>
              <w:rPr>
                <w:rFonts w:ascii="宋体" w:hAnsi="宋体"/>
                <w:sz w:val="21"/>
                <w:szCs w:val="21"/>
              </w:rPr>
            </w:pPr>
            <w:r>
              <w:rPr>
                <w:rFonts w:ascii="宋体" w:hAnsi="宋体"/>
                <w:sz w:val="20"/>
                <w:szCs w:val="20"/>
              </w:rPr>
              <w:t>能根据需要确定学习目标，并设计学习计划。</w:t>
            </w:r>
          </w:p>
        </w:tc>
      </w:tr>
      <w:tr w14:paraId="44337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7627CC3">
            <w:pPr>
              <w:pStyle w:val="17"/>
              <w:rPr>
                <w:rFonts w:ascii="宋体" w:hAnsi="宋体"/>
              </w:rPr>
            </w:pPr>
          </w:p>
        </w:tc>
        <w:tc>
          <w:tcPr>
            <w:tcW w:w="782" w:type="dxa"/>
            <w:shd w:val="clear" w:color="auto" w:fill="auto"/>
            <w:vAlign w:val="center"/>
          </w:tcPr>
          <w:p w14:paraId="3C5EA568">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8" w:type="dxa"/>
            <w:vAlign w:val="center"/>
          </w:tcPr>
          <w:p w14:paraId="2D3FE3B3">
            <w:pPr>
              <w:pStyle w:val="17"/>
              <w:tabs>
                <w:tab w:val="center" w:pos="4153"/>
                <w:tab w:val="right" w:pos="8306"/>
              </w:tabs>
              <w:snapToGrid w:val="0"/>
              <w:jc w:val="left"/>
              <w:rPr>
                <w:rFonts w:hint="eastAsia" w:ascii="宋体" w:hAnsi="宋体"/>
                <w:sz w:val="21"/>
                <w:szCs w:val="21"/>
                <w:lang w:val="en-US" w:eastAsia="zh-CN"/>
              </w:rPr>
            </w:pPr>
            <w:r>
              <w:rPr>
                <w:rFonts w:hint="eastAsia" w:ascii="宋体" w:hAnsi="宋体"/>
                <w:sz w:val="21"/>
              </w:rPr>
              <w:t>根据需要查阅</w:t>
            </w:r>
            <w:r>
              <w:rPr>
                <w:rFonts w:hint="eastAsia" w:ascii="宋体" w:hAnsi="宋体"/>
                <w:sz w:val="21"/>
                <w:lang w:val="en-US" w:eastAsia="zh-CN"/>
              </w:rPr>
              <w:t>社区</w:t>
            </w:r>
            <w:r>
              <w:rPr>
                <w:rFonts w:hint="eastAsia" w:ascii="宋体" w:hAnsi="宋体"/>
                <w:sz w:val="21"/>
              </w:rPr>
              <w:t>护理学专业领域相关文献，能够适应不断变化的社会健康保健需求。</w:t>
            </w:r>
          </w:p>
        </w:tc>
      </w:tr>
      <w:tr w14:paraId="1A5DF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2EA7DAAF">
            <w:pPr>
              <w:pStyle w:val="17"/>
              <w:rPr>
                <w:rFonts w:ascii="宋体" w:hAnsi="宋体"/>
              </w:rPr>
            </w:pPr>
          </w:p>
        </w:tc>
        <w:tc>
          <w:tcPr>
            <w:tcW w:w="782" w:type="dxa"/>
            <w:shd w:val="clear" w:color="auto" w:fill="auto"/>
            <w:vAlign w:val="center"/>
          </w:tcPr>
          <w:p w14:paraId="6655646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8" w:type="dxa"/>
            <w:vAlign w:val="center"/>
          </w:tcPr>
          <w:p w14:paraId="7B57F935">
            <w:pPr>
              <w:pStyle w:val="17"/>
              <w:tabs>
                <w:tab w:val="center" w:pos="4153"/>
                <w:tab w:val="right" w:pos="8306"/>
              </w:tabs>
              <w:snapToGrid w:val="0"/>
              <w:jc w:val="left"/>
              <w:rPr>
                <w:rFonts w:ascii="宋体" w:hAnsi="宋体"/>
                <w:sz w:val="21"/>
                <w:szCs w:val="21"/>
              </w:rPr>
            </w:pPr>
            <w:r>
              <w:rPr>
                <w:rFonts w:hint="eastAsia" w:ascii="宋体" w:hAnsi="宋体"/>
                <w:sz w:val="21"/>
                <w:szCs w:val="21"/>
                <w:lang w:val="en-US" w:eastAsia="zh-CN"/>
              </w:rPr>
              <w:t>根据</w:t>
            </w:r>
            <w:r>
              <w:rPr>
                <w:rFonts w:hint="eastAsia" w:ascii="宋体" w:hAnsi="宋体"/>
                <w:sz w:val="21"/>
                <w:szCs w:val="21"/>
              </w:rPr>
              <w:t>护理程序的工作方法对社区群体和个体进行健康评估并建立社区居民健康档案</w:t>
            </w:r>
            <w:r>
              <w:rPr>
                <w:rFonts w:hint="eastAsia" w:ascii="宋体" w:hAnsi="宋体"/>
                <w:sz w:val="21"/>
                <w:szCs w:val="21"/>
                <w:lang w:eastAsia="zh-CN"/>
              </w:rPr>
              <w:t>；</w:t>
            </w:r>
            <w:r>
              <w:rPr>
                <w:rFonts w:hint="eastAsia" w:ascii="宋体" w:hAnsi="宋体"/>
                <w:sz w:val="21"/>
                <w:szCs w:val="21"/>
              </w:rPr>
              <w:t>运用健康教育与健康促进的理论和方法，开展社区健康教育及健康促进活动。</w:t>
            </w:r>
          </w:p>
        </w:tc>
      </w:tr>
      <w:tr w14:paraId="20B32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FC74808">
            <w:pPr>
              <w:pStyle w:val="17"/>
              <w:rPr>
                <w:rFonts w:ascii="宋体" w:hAnsi="宋体"/>
              </w:rPr>
            </w:pPr>
          </w:p>
        </w:tc>
        <w:tc>
          <w:tcPr>
            <w:tcW w:w="782" w:type="dxa"/>
            <w:shd w:val="clear" w:color="auto" w:fill="auto"/>
            <w:vAlign w:val="center"/>
          </w:tcPr>
          <w:p w14:paraId="76A107F1">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8" w:type="dxa"/>
            <w:vAlign w:val="center"/>
          </w:tcPr>
          <w:p w14:paraId="5CECD70E">
            <w:pPr>
              <w:pStyle w:val="17"/>
              <w:tabs>
                <w:tab w:val="center" w:pos="4153"/>
                <w:tab w:val="right" w:pos="8306"/>
              </w:tabs>
              <w:snapToGrid w:val="0"/>
              <w:jc w:val="left"/>
              <w:rPr>
                <w:rFonts w:ascii="宋体" w:hAnsi="宋体"/>
                <w:sz w:val="21"/>
                <w:szCs w:val="21"/>
              </w:rPr>
            </w:pPr>
            <w:r>
              <w:rPr>
                <w:rFonts w:hint="eastAsia" w:ascii="宋体" w:hAnsi="宋体"/>
                <w:sz w:val="21"/>
              </w:rPr>
              <w:t>能配合社区卫生服务人员与社区相关部门，</w:t>
            </w:r>
            <w:r>
              <w:rPr>
                <w:rFonts w:hint="eastAsia" w:ascii="宋体" w:hAnsi="宋体"/>
                <w:sz w:val="21"/>
                <w:szCs w:val="21"/>
              </w:rPr>
              <w:t>正确运用所学护理知识和技能</w:t>
            </w:r>
            <w:r>
              <w:rPr>
                <w:rFonts w:hint="eastAsia" w:ascii="宋体" w:hAnsi="宋体"/>
                <w:sz w:val="21"/>
                <w:szCs w:val="21"/>
                <w:lang w:eastAsia="zh-CN"/>
              </w:rPr>
              <w:t>，</w:t>
            </w:r>
            <w:r>
              <w:rPr>
                <w:rFonts w:hint="eastAsia" w:ascii="宋体" w:hAnsi="宋体"/>
                <w:sz w:val="21"/>
              </w:rPr>
              <w:t>充分利用社区的资源，</w:t>
            </w:r>
            <w:r>
              <w:rPr>
                <w:rFonts w:hint="eastAsia" w:ascii="宋体" w:hAnsi="宋体"/>
                <w:sz w:val="21"/>
                <w:szCs w:val="21"/>
                <w:lang w:val="en-US" w:eastAsia="zh-CN"/>
              </w:rPr>
              <w:t>开展</w:t>
            </w:r>
            <w:r>
              <w:rPr>
                <w:rFonts w:hint="eastAsia" w:ascii="宋体" w:hAnsi="宋体"/>
                <w:sz w:val="21"/>
                <w:szCs w:val="21"/>
              </w:rPr>
              <w:t>社区日常工作。</w:t>
            </w:r>
            <w:r>
              <w:rPr>
                <w:rFonts w:hint="eastAsia" w:ascii="宋体" w:hAnsi="宋体"/>
                <w:sz w:val="21"/>
              </w:rPr>
              <w:t>同时培养团队协作精神及沟通协调能力。</w:t>
            </w:r>
          </w:p>
        </w:tc>
      </w:tr>
      <w:tr w14:paraId="3FCE8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C460DF9">
            <w:pPr>
              <w:pStyle w:val="17"/>
              <w:rPr>
                <w:rFonts w:ascii="宋体" w:hAnsi="宋体"/>
              </w:rPr>
            </w:pPr>
          </w:p>
        </w:tc>
        <w:tc>
          <w:tcPr>
            <w:tcW w:w="782" w:type="dxa"/>
            <w:shd w:val="clear" w:color="auto" w:fill="auto"/>
            <w:vAlign w:val="center"/>
          </w:tcPr>
          <w:p w14:paraId="15F570B0">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8" w:type="dxa"/>
            <w:vAlign w:val="center"/>
          </w:tcPr>
          <w:p w14:paraId="47749E36">
            <w:pPr>
              <w:pStyle w:val="17"/>
              <w:tabs>
                <w:tab w:val="center" w:pos="4153"/>
                <w:tab w:val="right" w:pos="8306"/>
              </w:tabs>
              <w:snapToGrid w:val="0"/>
              <w:jc w:val="left"/>
              <w:rPr>
                <w:rFonts w:ascii="宋体" w:hAnsi="宋体"/>
                <w:sz w:val="21"/>
                <w:szCs w:val="21"/>
              </w:rPr>
            </w:pPr>
            <w:r>
              <w:rPr>
                <w:rFonts w:hint="eastAsia" w:ascii="宋体" w:hAnsi="宋体"/>
                <w:sz w:val="21"/>
                <w:szCs w:val="21"/>
              </w:rPr>
              <w:t>知道疾病的三级预防和突发公共卫生事件报告和处理；运用护理学理论及操作技术根据社区救护程序和原则开展救护工作。</w:t>
            </w:r>
          </w:p>
        </w:tc>
      </w:tr>
      <w:tr w14:paraId="223BC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1827362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9E3C9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CD03C0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8" w:type="dxa"/>
            <w:vAlign w:val="center"/>
          </w:tcPr>
          <w:p w14:paraId="68ECEF07">
            <w:pPr>
              <w:pStyle w:val="17"/>
              <w:jc w:val="left"/>
              <w:rPr>
                <w:rFonts w:ascii="宋体" w:hAnsi="宋体"/>
                <w:bCs/>
              </w:rPr>
            </w:pPr>
            <w:r>
              <w:rPr>
                <w:rFonts w:hint="eastAsia" w:ascii="宋体" w:hAnsi="宋体" w:eastAsia="宋体" w:cs="宋体"/>
                <w:sz w:val="21"/>
                <w:szCs w:val="21"/>
              </w:rPr>
              <w:t>树立以人民为中心，为居民健康赋能的社区护理理念。做到爱岗敬业，热爱所学专业，勤学多练，锤炼技能。</w:t>
            </w:r>
            <w:r>
              <w:rPr>
                <w:rFonts w:hint="eastAsia" w:ascii="宋体" w:hAnsi="宋体" w:eastAsia="宋体" w:cs="宋体"/>
                <w:sz w:val="21"/>
                <w:szCs w:val="21"/>
                <w:lang w:eastAsia="zh-CN"/>
              </w:rPr>
              <w:t>简述</w:t>
            </w:r>
            <w:r>
              <w:rPr>
                <w:rFonts w:hint="eastAsia" w:ascii="宋体" w:hAnsi="宋体" w:eastAsia="宋体" w:cs="宋体"/>
                <w:sz w:val="21"/>
                <w:szCs w:val="21"/>
              </w:rPr>
              <w:t>本专业相关的法律法规，在实习实践中自觉遵守职业规范，具备职业道德操守。体现人道主义精神和全心全意为护理对象的健康服务的专业精神。</w:t>
            </w:r>
          </w:p>
        </w:tc>
      </w:tr>
    </w:tbl>
    <w:p w14:paraId="353084CB">
      <w:pPr>
        <w:pStyle w:val="20"/>
        <w:spacing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38CCDC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5D7EE205">
            <w:pPr>
              <w:pStyle w:val="17"/>
              <w:widowControl/>
              <w:tabs>
                <w:tab w:val="center" w:pos="4153"/>
                <w:tab w:val="right" w:pos="8306"/>
              </w:tabs>
              <w:snapToGrid w:val="0"/>
              <w:jc w:val="left"/>
              <w:rPr>
                <w:rFonts w:ascii="宋体" w:hAnsi="宋体"/>
                <w:sz w:val="21"/>
                <w:szCs w:val="21"/>
              </w:rPr>
            </w:pPr>
            <w:r>
              <w:rPr>
                <w:rFonts w:ascii="宋体" w:hAnsi="宋体"/>
                <w:sz w:val="21"/>
                <w:szCs w:val="21"/>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034F0EF">
            <w:pPr>
              <w:pStyle w:val="17"/>
              <w:widowControl/>
              <w:tabs>
                <w:tab w:val="center" w:pos="4153"/>
                <w:tab w:val="right" w:pos="8306"/>
              </w:tabs>
              <w:snapToGrid w:val="0"/>
              <w:jc w:val="left"/>
              <w:rPr>
                <w:rFonts w:ascii="宋体" w:hAnsi="宋体"/>
                <w:sz w:val="21"/>
                <w:szCs w:val="21"/>
              </w:rPr>
            </w:pPr>
            <w:r>
              <w:rPr>
                <w:rFonts w:hint="eastAsia" w:ascii="宋体" w:hAnsi="宋体"/>
                <w:sz w:val="21"/>
                <w:szCs w:val="21"/>
              </w:rPr>
              <w:t>⑤爱岗敬业，热爱所学专业，勤学多练，锤炼技能。</w:t>
            </w:r>
            <w:r>
              <w:rPr>
                <w:rFonts w:hint="eastAsia" w:ascii="宋体" w:hAnsi="宋体"/>
                <w:sz w:val="21"/>
                <w:szCs w:val="21"/>
                <w:lang w:eastAsia="zh-CN"/>
              </w:rPr>
              <w:t>简述</w:t>
            </w:r>
            <w:r>
              <w:rPr>
                <w:rFonts w:hint="eastAsia" w:ascii="宋体" w:hAnsi="宋体"/>
                <w:sz w:val="21"/>
                <w:szCs w:val="21"/>
              </w:rPr>
              <w:t>本专业相关的法律法规，在实习实践中自觉遵守职业规范，具备职业道德操</w:t>
            </w:r>
            <w:r>
              <w:rPr>
                <w:rFonts w:hint="eastAsia" w:ascii="宋体" w:hAnsi="宋体"/>
                <w:color w:val="auto"/>
                <w:sz w:val="21"/>
                <w:szCs w:val="21"/>
              </w:rPr>
              <w:t>守。</w:t>
            </w:r>
            <w:r>
              <w:rPr>
                <w:rFonts w:hint="eastAsia" w:ascii="宋体" w:hAnsi="宋体"/>
                <w:color w:val="auto"/>
              </w:rPr>
              <w:t>M</w:t>
            </w:r>
          </w:p>
        </w:tc>
      </w:tr>
      <w:tr w14:paraId="659F619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4867613">
            <w:pPr>
              <w:pStyle w:val="17"/>
              <w:widowControl/>
              <w:tabs>
                <w:tab w:val="center" w:pos="4153"/>
                <w:tab w:val="right" w:pos="8306"/>
              </w:tabs>
              <w:snapToGrid w:val="0"/>
              <w:jc w:val="left"/>
              <w:rPr>
                <w:rFonts w:ascii="宋体" w:hAnsi="宋体"/>
                <w:sz w:val="21"/>
                <w:szCs w:val="21"/>
              </w:rPr>
            </w:pPr>
            <w:r>
              <w:rPr>
                <w:rFonts w:ascii="宋体" w:hAnsi="宋体"/>
                <w:sz w:val="21"/>
                <w:szCs w:val="21"/>
              </w:rPr>
              <w:t>LO2专业能力：具有人文科学素养，具备从事护理工作或专业的理论知识、实践能力。</w:t>
            </w:r>
          </w:p>
          <w:p w14:paraId="0624969F">
            <w:pPr>
              <w:pStyle w:val="17"/>
              <w:widowControl/>
              <w:tabs>
                <w:tab w:val="center" w:pos="4153"/>
                <w:tab w:val="right" w:pos="8306"/>
              </w:tabs>
              <w:snapToGrid w:val="0"/>
              <w:jc w:val="left"/>
              <w:rPr>
                <w:rFonts w:ascii="宋体" w:hAnsi="宋体"/>
                <w:sz w:val="21"/>
                <w:szCs w:val="21"/>
              </w:rPr>
            </w:pPr>
            <w:r>
              <w:rPr>
                <w:rFonts w:hint="eastAsia" w:ascii="宋体" w:hAnsi="宋体"/>
                <w:sz w:val="21"/>
                <w:szCs w:val="21"/>
              </w:rPr>
              <w:t>④社区护理能力：具有从事社区护理的基本能力，能在各种环境中为个体、家庭、社区提供与其文化相一致的健康保健服务。</w:t>
            </w:r>
            <w:r>
              <w:rPr>
                <w:rFonts w:ascii="宋体" w:hAnsi="宋体"/>
                <w:sz w:val="21"/>
                <w:szCs w:val="21"/>
              </w:rPr>
              <w:t>H</w:t>
            </w:r>
          </w:p>
        </w:tc>
      </w:tr>
      <w:tr w14:paraId="765A573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19" w:hRule="atLeast"/>
        </w:trPr>
        <w:tc>
          <w:tcPr>
            <w:tcW w:w="8276" w:type="dxa"/>
          </w:tcPr>
          <w:p w14:paraId="53FA626F">
            <w:pPr>
              <w:pStyle w:val="17"/>
              <w:widowControl/>
              <w:tabs>
                <w:tab w:val="center" w:pos="4153"/>
                <w:tab w:val="right" w:pos="8306"/>
              </w:tabs>
              <w:snapToGrid w:val="0"/>
              <w:jc w:val="left"/>
              <w:rPr>
                <w:rFonts w:ascii="宋体" w:hAnsi="宋体"/>
                <w:sz w:val="21"/>
                <w:szCs w:val="21"/>
              </w:rPr>
            </w:pPr>
            <w:r>
              <w:rPr>
                <w:rFonts w:ascii="宋体" w:hAnsi="宋体"/>
                <w:sz w:val="21"/>
                <w:szCs w:val="21"/>
              </w:rPr>
              <w:t>LO4自主学习：能根据环境需要确定自己的学习目标，并主动地通过搜集信息、分析信息、讨论、实践、质疑、创造等方法来实现学习目标。</w:t>
            </w:r>
          </w:p>
          <w:p w14:paraId="6E92D99A">
            <w:pPr>
              <w:pStyle w:val="17"/>
              <w:widowControl/>
              <w:tabs>
                <w:tab w:val="center" w:pos="4153"/>
                <w:tab w:val="right" w:pos="8306"/>
              </w:tabs>
              <w:snapToGrid w:val="0"/>
              <w:jc w:val="left"/>
              <w:rPr>
                <w:rFonts w:ascii="宋体" w:hAnsi="宋体"/>
                <w:sz w:val="21"/>
                <w:szCs w:val="21"/>
              </w:rPr>
            </w:pPr>
            <w:r>
              <w:rPr>
                <w:rFonts w:ascii="宋体" w:hAnsi="宋体"/>
                <w:sz w:val="21"/>
                <w:szCs w:val="21"/>
              </w:rPr>
              <w:fldChar w:fldCharType="begin"/>
            </w:r>
            <w:r>
              <w:rPr>
                <w:rFonts w:ascii="宋体" w:hAnsi="宋体"/>
                <w:sz w:val="21"/>
                <w:szCs w:val="21"/>
              </w:rPr>
              <w:instrText xml:space="preserve"> = 1 \* GB3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ascii="宋体" w:hAnsi="宋体"/>
                <w:sz w:val="21"/>
                <w:szCs w:val="21"/>
              </w:rPr>
              <w:t>能根据需要确定学习目标，并设计学习计划。M</w:t>
            </w:r>
          </w:p>
          <w:p w14:paraId="0F29E78C">
            <w:pPr>
              <w:pStyle w:val="17"/>
              <w:widowControl/>
              <w:tabs>
                <w:tab w:val="center" w:pos="4153"/>
                <w:tab w:val="right" w:pos="8306"/>
              </w:tabs>
              <w:snapToGrid w:val="0"/>
              <w:jc w:val="left"/>
              <w:rPr>
                <w:rFonts w:ascii="宋体" w:hAnsi="宋体"/>
                <w:sz w:val="21"/>
                <w:szCs w:val="21"/>
              </w:rPr>
            </w:pPr>
            <w:r>
              <w:rPr>
                <w:rFonts w:hint="eastAsia" w:ascii="宋体" w:hAnsi="宋体"/>
                <w:sz w:val="21"/>
                <w:szCs w:val="21"/>
              </w:rPr>
              <w:t>②能搜集、获取达到目标所需要的学习资源，实施学习计划、反思学习计划、持续改进，达到学习目标。</w:t>
            </w:r>
            <w:r>
              <w:rPr>
                <w:rFonts w:ascii="宋体" w:hAnsi="宋体"/>
                <w:sz w:val="21"/>
                <w:szCs w:val="21"/>
              </w:rPr>
              <w:t>M</w:t>
            </w:r>
          </w:p>
        </w:tc>
      </w:tr>
    </w:tbl>
    <w:p w14:paraId="2CB778E0">
      <w:pPr>
        <w:pStyle w:val="20"/>
        <w:spacing w:beforeLines="50" w:after="163"/>
      </w:pPr>
    </w:p>
    <w:p w14:paraId="36282B6F">
      <w:pPr>
        <w:pStyle w:val="20"/>
        <w:spacing w:beforeLines="50" w:after="163"/>
      </w:pPr>
    </w:p>
    <w:p w14:paraId="5C3BB1F7">
      <w:pPr>
        <w:pStyle w:val="20"/>
        <w:spacing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0DD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DAFB306">
            <w:pPr>
              <w:pStyle w:val="16"/>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3FF9E7B">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4EE8B98">
            <w:pPr>
              <w:pStyle w:val="16"/>
              <w:rPr>
                <w:szCs w:val="16"/>
              </w:rPr>
            </w:pPr>
            <w:r>
              <w:rPr>
                <w:rFonts w:hint="eastAsia"/>
                <w:szCs w:val="16"/>
              </w:rPr>
              <w:t>支撑度</w:t>
            </w:r>
          </w:p>
        </w:tc>
        <w:tc>
          <w:tcPr>
            <w:tcW w:w="4763" w:type="dxa"/>
            <w:tcBorders>
              <w:top w:val="single" w:color="auto" w:sz="12" w:space="0"/>
            </w:tcBorders>
            <w:vAlign w:val="center"/>
          </w:tcPr>
          <w:p w14:paraId="372B7DC1">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7F770632">
            <w:pPr>
              <w:pStyle w:val="16"/>
              <w:rPr>
                <w:szCs w:val="16"/>
              </w:rPr>
            </w:pPr>
            <w:r>
              <w:rPr>
                <w:rFonts w:hint="eastAsia"/>
                <w:szCs w:val="16"/>
              </w:rPr>
              <w:t>对指标点的贡献度</w:t>
            </w:r>
          </w:p>
        </w:tc>
      </w:tr>
      <w:tr w14:paraId="0132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0FCCFD9">
            <w:pPr>
              <w:pStyle w:val="17"/>
              <w:rPr>
                <w:b/>
              </w:rPr>
            </w:pPr>
            <w:r>
              <w:rPr>
                <w:b/>
              </w:rPr>
              <w:t>L01</w:t>
            </w:r>
          </w:p>
        </w:tc>
        <w:tc>
          <w:tcPr>
            <w:tcW w:w="794" w:type="dxa"/>
            <w:tcBorders>
              <w:left w:val="single" w:color="auto" w:sz="4" w:space="0"/>
            </w:tcBorders>
            <w:vAlign w:val="center"/>
          </w:tcPr>
          <w:p w14:paraId="79751FA7">
            <w:pPr>
              <w:pStyle w:val="17"/>
              <w:rPr>
                <w:bCs/>
              </w:rPr>
            </w:pPr>
            <w:r>
              <w:rPr>
                <w:rFonts w:hint="eastAsia"/>
                <w:bCs/>
              </w:rPr>
              <w:t>⑤</w:t>
            </w:r>
          </w:p>
        </w:tc>
        <w:tc>
          <w:tcPr>
            <w:tcW w:w="794" w:type="dxa"/>
            <w:tcBorders>
              <w:right w:val="double" w:color="auto" w:sz="4" w:space="0"/>
            </w:tcBorders>
            <w:shd w:val="clear" w:color="auto" w:fill="auto"/>
            <w:vAlign w:val="center"/>
          </w:tcPr>
          <w:p w14:paraId="49CFA54B">
            <w:pPr>
              <w:pStyle w:val="17"/>
              <w:rPr>
                <w:rFonts w:ascii="宋体" w:hAnsi="宋体"/>
              </w:rPr>
            </w:pPr>
            <w:r>
              <w:rPr>
                <w:rFonts w:hint="eastAsia" w:ascii="宋体" w:hAnsi="宋体"/>
              </w:rPr>
              <w:t>M</w:t>
            </w:r>
          </w:p>
        </w:tc>
        <w:tc>
          <w:tcPr>
            <w:tcW w:w="4763" w:type="dxa"/>
            <w:vAlign w:val="center"/>
          </w:tcPr>
          <w:p w14:paraId="527CB236">
            <w:pPr>
              <w:pStyle w:val="17"/>
              <w:jc w:val="left"/>
              <w:rPr>
                <w:rFonts w:hint="eastAsia" w:ascii="宋体" w:hAnsi="宋体" w:eastAsia="宋体"/>
                <w:sz w:val="20"/>
                <w:szCs w:val="20"/>
                <w:lang w:eastAsia="zh-CN"/>
              </w:rPr>
            </w:pPr>
            <w:r>
              <w:rPr>
                <w:rFonts w:hint="eastAsia" w:ascii="宋体" w:hAnsi="宋体"/>
                <w:sz w:val="20"/>
                <w:szCs w:val="20"/>
                <w:lang w:val="en-US" w:eastAsia="zh-CN"/>
              </w:rPr>
              <w:t>7</w:t>
            </w:r>
            <w:r>
              <w:rPr>
                <w:rFonts w:ascii="宋体" w:hAnsi="宋体"/>
                <w:sz w:val="20"/>
                <w:szCs w:val="20"/>
              </w:rPr>
              <w:t>.</w:t>
            </w:r>
            <w:r>
              <w:rPr>
                <w:rFonts w:hint="eastAsia" w:ascii="宋体" w:hAnsi="宋体" w:eastAsia="宋体" w:cs="宋体"/>
                <w:sz w:val="21"/>
                <w:szCs w:val="21"/>
              </w:rPr>
              <w:t>树立以人民为中心，为居民健康赋能的社区护理理念。做到爱岗敬业，热爱所学专业，勤学多练，锤炼技能。</w:t>
            </w:r>
            <w:r>
              <w:rPr>
                <w:rFonts w:hint="eastAsia" w:ascii="宋体" w:hAnsi="宋体" w:eastAsia="宋体" w:cs="宋体"/>
                <w:sz w:val="21"/>
                <w:szCs w:val="21"/>
                <w:lang w:eastAsia="zh-CN"/>
              </w:rPr>
              <w:t>简述</w:t>
            </w:r>
            <w:r>
              <w:rPr>
                <w:rFonts w:hint="eastAsia" w:ascii="宋体" w:hAnsi="宋体" w:eastAsia="宋体" w:cs="宋体"/>
                <w:sz w:val="21"/>
                <w:szCs w:val="21"/>
              </w:rPr>
              <w:t>本专业相关的法律法规，在实习实践中自觉遵守职业规范，具备职业道德操守。体现人道主义精神和全心全意为护理对象的健康服务的专业精神</w:t>
            </w:r>
            <w:r>
              <w:rPr>
                <w:rFonts w:hint="eastAsia" w:ascii="宋体" w:hAnsi="宋体" w:cs="宋体"/>
                <w:sz w:val="21"/>
                <w:szCs w:val="21"/>
                <w:lang w:eastAsia="zh-CN"/>
              </w:rPr>
              <w:t>。</w:t>
            </w:r>
          </w:p>
        </w:tc>
        <w:tc>
          <w:tcPr>
            <w:tcW w:w="1348" w:type="dxa"/>
            <w:tcBorders>
              <w:right w:val="single" w:color="auto" w:sz="12" w:space="0"/>
            </w:tcBorders>
            <w:vAlign w:val="center"/>
          </w:tcPr>
          <w:p w14:paraId="09E2D1DC">
            <w:pPr>
              <w:pStyle w:val="17"/>
              <w:rPr>
                <w:rFonts w:ascii="宋体" w:hAnsi="宋体"/>
                <w:sz w:val="20"/>
                <w:szCs w:val="20"/>
              </w:rPr>
            </w:pPr>
            <w:r>
              <w:rPr>
                <w:rFonts w:ascii="宋体" w:hAnsi="宋体"/>
                <w:sz w:val="20"/>
                <w:szCs w:val="20"/>
              </w:rPr>
              <w:t>100</w:t>
            </w:r>
            <w:r>
              <w:rPr>
                <w:rFonts w:hint="eastAsia" w:ascii="宋体" w:hAnsi="宋体"/>
                <w:sz w:val="20"/>
                <w:szCs w:val="20"/>
              </w:rPr>
              <w:t>%</w:t>
            </w:r>
          </w:p>
        </w:tc>
      </w:tr>
      <w:tr w14:paraId="7D9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93698D1">
            <w:pPr>
              <w:pStyle w:val="17"/>
              <w:rPr>
                <w:b/>
                <w:bCs/>
              </w:rPr>
            </w:pPr>
            <w:r>
              <w:rPr>
                <w:rFonts w:hint="eastAsia"/>
                <w:b/>
                <w:bCs/>
              </w:rPr>
              <w:t>L</w:t>
            </w:r>
            <w:r>
              <w:rPr>
                <w:b/>
                <w:bCs/>
              </w:rPr>
              <w:t>02</w:t>
            </w:r>
          </w:p>
        </w:tc>
        <w:tc>
          <w:tcPr>
            <w:tcW w:w="794" w:type="dxa"/>
            <w:vMerge w:val="restart"/>
            <w:tcBorders>
              <w:left w:val="single" w:color="auto" w:sz="4" w:space="0"/>
            </w:tcBorders>
            <w:vAlign w:val="center"/>
          </w:tcPr>
          <w:p w14:paraId="0A05E629">
            <w:pPr>
              <w:pStyle w:val="17"/>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4 \* GB3</w:instrText>
            </w:r>
            <w:r>
              <w:rPr>
                <w:rFonts w:cs="Times New Roman"/>
                <w:bCs/>
              </w:rPr>
              <w:instrText xml:space="preserve"> </w:instrText>
            </w:r>
            <w:r>
              <w:rPr>
                <w:rFonts w:cs="Times New Roman"/>
                <w:bCs/>
              </w:rPr>
              <w:fldChar w:fldCharType="separate"/>
            </w:r>
            <w:r>
              <w:rPr>
                <w:rFonts w:hint="eastAsia" w:cs="Times New Roman"/>
                <w:bCs/>
              </w:rPr>
              <w:t>④</w:t>
            </w:r>
            <w:r>
              <w:rPr>
                <w:rFonts w:cs="Times New Roman"/>
                <w:bCs/>
              </w:rPr>
              <w:fldChar w:fldCharType="end"/>
            </w:r>
          </w:p>
        </w:tc>
        <w:tc>
          <w:tcPr>
            <w:tcW w:w="794" w:type="dxa"/>
            <w:vMerge w:val="restart"/>
            <w:tcBorders>
              <w:right w:val="double" w:color="auto" w:sz="4" w:space="0"/>
            </w:tcBorders>
            <w:shd w:val="clear" w:color="auto" w:fill="auto"/>
            <w:vAlign w:val="center"/>
          </w:tcPr>
          <w:p w14:paraId="4377C3BE">
            <w:pPr>
              <w:pStyle w:val="17"/>
              <w:rPr>
                <w:rFonts w:ascii="宋体" w:hAnsi="宋体"/>
              </w:rPr>
            </w:pPr>
            <w:r>
              <w:rPr>
                <w:rFonts w:hint="eastAsia" w:ascii="宋体" w:hAnsi="宋体"/>
              </w:rPr>
              <w:t>H</w:t>
            </w:r>
          </w:p>
        </w:tc>
        <w:tc>
          <w:tcPr>
            <w:tcW w:w="4763" w:type="dxa"/>
            <w:vAlign w:val="center"/>
          </w:tcPr>
          <w:p w14:paraId="2C0D933C">
            <w:pPr>
              <w:pStyle w:val="17"/>
              <w:numPr>
                <w:ilvl w:val="0"/>
                <w:numId w:val="0"/>
              </w:numPr>
              <w:tabs>
                <w:tab w:val="center" w:pos="4153"/>
                <w:tab w:val="right" w:pos="8306"/>
              </w:tabs>
              <w:snapToGrid w:val="0"/>
              <w:jc w:val="left"/>
              <w:rPr>
                <w:rFonts w:hint="default" w:eastAsia="宋体"/>
                <w:lang w:val="en-US" w:eastAsia="zh-CN"/>
              </w:rPr>
            </w:pPr>
            <w:r>
              <w:rPr>
                <w:rFonts w:hint="eastAsia"/>
                <w:lang w:val="en-US" w:eastAsia="zh-CN"/>
              </w:rPr>
              <w:t>1.</w:t>
            </w:r>
            <w:r>
              <w:rPr>
                <w:rFonts w:hint="eastAsia" w:ascii="宋体" w:hAnsi="宋体"/>
                <w:sz w:val="21"/>
                <w:szCs w:val="21"/>
              </w:rPr>
              <w:t>理解</w:t>
            </w:r>
            <w:r>
              <w:rPr>
                <w:rFonts w:hint="eastAsia" w:ascii="宋体" w:hAnsi="宋体"/>
                <w:sz w:val="21"/>
                <w:szCs w:val="21"/>
                <w:lang w:val="en-US" w:eastAsia="zh-CN"/>
              </w:rPr>
              <w:t>学习社区</w:t>
            </w:r>
            <w:r>
              <w:rPr>
                <w:rFonts w:hint="eastAsia" w:ascii="宋体" w:hAnsi="宋体"/>
                <w:sz w:val="21"/>
                <w:szCs w:val="21"/>
              </w:rPr>
              <w:t>护理学的目的、内容和方法。知道</w:t>
            </w:r>
            <w:r>
              <w:rPr>
                <w:rFonts w:hint="eastAsia" w:ascii="宋体" w:hAnsi="宋体"/>
                <w:sz w:val="21"/>
                <w:szCs w:val="21"/>
                <w:lang w:val="en-US" w:eastAsia="zh-CN"/>
              </w:rPr>
              <w:t>社区护理工作方法，</w:t>
            </w:r>
            <w:r>
              <w:rPr>
                <w:rFonts w:hint="eastAsia" w:ascii="宋体" w:hAnsi="宋体"/>
                <w:sz w:val="21"/>
                <w:szCs w:val="21"/>
              </w:rPr>
              <w:t>知道</w:t>
            </w:r>
            <w:r>
              <w:rPr>
                <w:rFonts w:hint="eastAsia" w:ascii="宋体" w:hAnsi="宋体"/>
                <w:sz w:val="21"/>
                <w:szCs w:val="21"/>
                <w:lang w:val="en-US" w:eastAsia="zh-CN"/>
              </w:rPr>
              <w:t>社区健康管理，社区健康教育与健康促进，知道社区家庭健康管理，社区儿童、青少年、妇女、老年人群、慢性病人、伤残病人的</w:t>
            </w:r>
            <w:r>
              <w:rPr>
                <w:rFonts w:hint="eastAsia" w:ascii="宋体" w:hAnsi="宋体"/>
                <w:sz w:val="21"/>
                <w:szCs w:val="21"/>
              </w:rPr>
              <w:t>护理</w:t>
            </w:r>
            <w:r>
              <w:rPr>
                <w:rFonts w:hint="eastAsia" w:ascii="宋体" w:hAnsi="宋体"/>
                <w:sz w:val="21"/>
                <w:szCs w:val="21"/>
                <w:lang w:val="en-US" w:eastAsia="zh-CN"/>
              </w:rPr>
              <w:t>以及社区安宁疗护、突发公共卫生事件管理及社区健康信息化等管理内容。</w:t>
            </w:r>
          </w:p>
        </w:tc>
        <w:tc>
          <w:tcPr>
            <w:tcW w:w="1348" w:type="dxa"/>
            <w:tcBorders>
              <w:right w:val="single" w:color="auto" w:sz="12" w:space="0"/>
            </w:tcBorders>
            <w:vAlign w:val="center"/>
          </w:tcPr>
          <w:p w14:paraId="6B375788">
            <w:pPr>
              <w:pStyle w:val="17"/>
              <w:rPr>
                <w:rFonts w:ascii="宋体" w:hAnsi="宋体"/>
                <w:sz w:val="20"/>
                <w:szCs w:val="20"/>
              </w:rPr>
            </w:pPr>
            <w:r>
              <w:rPr>
                <w:rFonts w:ascii="宋体" w:hAnsi="宋体"/>
                <w:sz w:val="20"/>
                <w:szCs w:val="20"/>
              </w:rPr>
              <w:t>50</w:t>
            </w:r>
            <w:r>
              <w:rPr>
                <w:rFonts w:hint="eastAsia" w:ascii="宋体" w:hAnsi="宋体"/>
                <w:sz w:val="20"/>
                <w:szCs w:val="20"/>
              </w:rPr>
              <w:t>%</w:t>
            </w:r>
          </w:p>
        </w:tc>
      </w:tr>
      <w:tr w14:paraId="7BA7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C19046">
            <w:pPr>
              <w:pStyle w:val="17"/>
            </w:pPr>
          </w:p>
        </w:tc>
        <w:tc>
          <w:tcPr>
            <w:tcW w:w="794" w:type="dxa"/>
            <w:vMerge w:val="continue"/>
            <w:tcBorders>
              <w:left w:val="single" w:color="auto" w:sz="4" w:space="0"/>
            </w:tcBorders>
            <w:vAlign w:val="center"/>
          </w:tcPr>
          <w:p w14:paraId="0FF53FEF">
            <w:pPr>
              <w:pStyle w:val="17"/>
              <w:rPr>
                <w:rFonts w:cs="Times New Roman"/>
                <w:bCs/>
              </w:rPr>
            </w:pPr>
          </w:p>
        </w:tc>
        <w:tc>
          <w:tcPr>
            <w:tcW w:w="794" w:type="dxa"/>
            <w:vMerge w:val="continue"/>
            <w:tcBorders>
              <w:right w:val="double" w:color="auto" w:sz="4" w:space="0"/>
            </w:tcBorders>
            <w:shd w:val="clear" w:color="auto" w:fill="auto"/>
            <w:vAlign w:val="center"/>
          </w:tcPr>
          <w:p w14:paraId="710E0F3D">
            <w:pPr>
              <w:pStyle w:val="17"/>
              <w:rPr>
                <w:rFonts w:ascii="宋体" w:hAnsi="宋体"/>
              </w:rPr>
            </w:pPr>
          </w:p>
        </w:tc>
        <w:tc>
          <w:tcPr>
            <w:tcW w:w="4763" w:type="dxa"/>
            <w:vAlign w:val="center"/>
          </w:tcPr>
          <w:p w14:paraId="65E77A2B">
            <w:pPr>
              <w:pStyle w:val="17"/>
              <w:numPr>
                <w:ilvl w:val="0"/>
                <w:numId w:val="0"/>
              </w:numPr>
              <w:tabs>
                <w:tab w:val="center" w:pos="4153"/>
                <w:tab w:val="right" w:pos="8306"/>
              </w:tabs>
              <w:snapToGrid w:val="0"/>
              <w:jc w:val="left"/>
              <w:rPr>
                <w:rFonts w:hint="eastAsia" w:ascii="宋体" w:hAnsi="宋体"/>
                <w:sz w:val="21"/>
                <w:szCs w:val="21"/>
                <w:lang w:val="en-US" w:eastAsia="zh-CN"/>
              </w:rPr>
            </w:pPr>
            <w:r>
              <w:rPr>
                <w:rFonts w:hint="eastAsia"/>
                <w:sz w:val="21"/>
                <w:szCs w:val="21"/>
                <w:lang w:val="en-US" w:eastAsia="zh-CN"/>
              </w:rPr>
              <w:t>4.</w:t>
            </w:r>
            <w:r>
              <w:rPr>
                <w:rFonts w:hint="eastAsia" w:ascii="宋体" w:hAnsi="宋体"/>
                <w:sz w:val="21"/>
                <w:szCs w:val="21"/>
                <w:lang w:val="en-US" w:eastAsia="zh-CN"/>
              </w:rPr>
              <w:t>根据</w:t>
            </w:r>
            <w:r>
              <w:rPr>
                <w:rFonts w:hint="eastAsia" w:ascii="宋体" w:hAnsi="宋体"/>
                <w:sz w:val="21"/>
                <w:szCs w:val="21"/>
              </w:rPr>
              <w:t>护理程序的工作方法对社区群体和个体进行健康评估并建立社区居民健康档案</w:t>
            </w:r>
            <w:r>
              <w:rPr>
                <w:rFonts w:hint="eastAsia" w:ascii="宋体" w:hAnsi="宋体"/>
                <w:sz w:val="21"/>
                <w:szCs w:val="21"/>
                <w:lang w:eastAsia="zh-CN"/>
              </w:rPr>
              <w:t>；</w:t>
            </w:r>
            <w:r>
              <w:rPr>
                <w:rFonts w:hint="eastAsia" w:ascii="宋体" w:hAnsi="宋体"/>
                <w:sz w:val="21"/>
                <w:szCs w:val="21"/>
              </w:rPr>
              <w:t>运用健康教育与健康促进的理论和方法，开展社区健康教育及健康促进活动。</w:t>
            </w:r>
          </w:p>
          <w:p w14:paraId="1A088933">
            <w:pPr>
              <w:numPr>
                <w:ilvl w:val="0"/>
                <w:numId w:val="0"/>
              </w:numPr>
              <w:rPr>
                <w:rFonts w:hint="eastAsia" w:ascii="宋体" w:hAnsi="宋体"/>
                <w:sz w:val="21"/>
              </w:rPr>
            </w:pPr>
            <w:r>
              <w:rPr>
                <w:rFonts w:hint="eastAsia"/>
                <w:sz w:val="21"/>
                <w:lang w:val="en-US" w:eastAsia="zh-CN"/>
              </w:rPr>
              <w:t>5.</w:t>
            </w:r>
            <w:r>
              <w:rPr>
                <w:rFonts w:hint="eastAsia" w:ascii="宋体" w:hAnsi="宋体"/>
                <w:sz w:val="21"/>
              </w:rPr>
              <w:t>能配合社区卫生服务人员与社区相关部门，</w:t>
            </w:r>
            <w:r>
              <w:rPr>
                <w:rFonts w:hint="eastAsia" w:ascii="宋体" w:hAnsi="宋体"/>
                <w:sz w:val="21"/>
                <w:szCs w:val="21"/>
              </w:rPr>
              <w:t>正确运用所学护理知识和技能</w:t>
            </w:r>
            <w:r>
              <w:rPr>
                <w:rFonts w:hint="eastAsia" w:ascii="宋体" w:hAnsi="宋体"/>
                <w:sz w:val="21"/>
                <w:szCs w:val="21"/>
                <w:lang w:eastAsia="zh-CN"/>
              </w:rPr>
              <w:t>，</w:t>
            </w:r>
            <w:r>
              <w:rPr>
                <w:rFonts w:hint="eastAsia" w:ascii="宋体" w:hAnsi="宋体"/>
                <w:sz w:val="21"/>
              </w:rPr>
              <w:t>充分利用社区的资源，</w:t>
            </w:r>
            <w:r>
              <w:rPr>
                <w:rFonts w:hint="eastAsia" w:ascii="宋体" w:hAnsi="宋体"/>
                <w:sz w:val="21"/>
                <w:szCs w:val="21"/>
                <w:lang w:val="en-US" w:eastAsia="zh-CN"/>
              </w:rPr>
              <w:t>开展</w:t>
            </w:r>
            <w:r>
              <w:rPr>
                <w:rFonts w:hint="eastAsia" w:ascii="宋体" w:hAnsi="宋体"/>
                <w:sz w:val="21"/>
                <w:szCs w:val="21"/>
              </w:rPr>
              <w:t>社区日常工作。</w:t>
            </w:r>
            <w:r>
              <w:rPr>
                <w:rFonts w:hint="eastAsia" w:ascii="宋体" w:hAnsi="宋体"/>
                <w:sz w:val="21"/>
              </w:rPr>
              <w:t>同时培养团队协作精神及沟通协调能力。</w:t>
            </w:r>
          </w:p>
          <w:p w14:paraId="682FD4CE">
            <w:pPr>
              <w:numPr>
                <w:ilvl w:val="0"/>
                <w:numId w:val="0"/>
              </w:numPr>
              <w:ind w:leftChars="0"/>
            </w:pPr>
            <w:r>
              <w:rPr>
                <w:rFonts w:hint="eastAsia"/>
                <w:color w:val="000000"/>
                <w:sz w:val="20"/>
                <w:szCs w:val="20"/>
                <w:lang w:val="en-US" w:eastAsia="zh-CN"/>
              </w:rPr>
              <w:t>6.</w:t>
            </w:r>
            <w:r>
              <w:rPr>
                <w:rFonts w:hint="eastAsia" w:ascii="宋体" w:hAnsi="宋体"/>
                <w:sz w:val="21"/>
                <w:szCs w:val="21"/>
              </w:rPr>
              <w:t>知道疾病的三级预防和突发公共卫生事件报告和处理；运用护理学理论及操作技术根据社区救护程序和原则开展救护工作。</w:t>
            </w:r>
          </w:p>
        </w:tc>
        <w:tc>
          <w:tcPr>
            <w:tcW w:w="1348" w:type="dxa"/>
            <w:tcBorders>
              <w:right w:val="single" w:color="auto" w:sz="12" w:space="0"/>
            </w:tcBorders>
            <w:vAlign w:val="center"/>
          </w:tcPr>
          <w:p w14:paraId="2C751735">
            <w:pPr>
              <w:pStyle w:val="17"/>
              <w:rPr>
                <w:rFonts w:ascii="宋体" w:hAnsi="宋体"/>
                <w:sz w:val="20"/>
                <w:szCs w:val="20"/>
              </w:rPr>
            </w:pPr>
            <w:r>
              <w:rPr>
                <w:rFonts w:hint="eastAsia" w:ascii="宋体" w:hAnsi="宋体"/>
                <w:sz w:val="20"/>
                <w:szCs w:val="20"/>
              </w:rPr>
              <w:t>5</w:t>
            </w:r>
            <w:r>
              <w:rPr>
                <w:rFonts w:ascii="宋体" w:hAnsi="宋体"/>
                <w:sz w:val="20"/>
                <w:szCs w:val="20"/>
              </w:rPr>
              <w:t>0</w:t>
            </w:r>
            <w:r>
              <w:rPr>
                <w:rFonts w:hint="eastAsia" w:ascii="宋体" w:hAnsi="宋体"/>
                <w:sz w:val="20"/>
                <w:szCs w:val="20"/>
              </w:rPr>
              <w:t>%</w:t>
            </w:r>
          </w:p>
        </w:tc>
      </w:tr>
      <w:tr w14:paraId="5B77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0" w:hRule="atLeast"/>
          <w:jc w:val="center"/>
        </w:trPr>
        <w:tc>
          <w:tcPr>
            <w:tcW w:w="777" w:type="dxa"/>
            <w:vMerge w:val="restart"/>
            <w:tcBorders>
              <w:left w:val="single" w:color="auto" w:sz="12" w:space="0"/>
              <w:right w:val="single" w:color="auto" w:sz="4" w:space="0"/>
            </w:tcBorders>
            <w:shd w:val="clear" w:color="auto" w:fill="auto"/>
          </w:tcPr>
          <w:p w14:paraId="20E6C07D">
            <w:pPr>
              <w:pStyle w:val="17"/>
              <w:rPr>
                <w:b/>
                <w:bCs/>
              </w:rPr>
            </w:pPr>
          </w:p>
          <w:p w14:paraId="43022730">
            <w:pPr>
              <w:pStyle w:val="17"/>
              <w:rPr>
                <w:b/>
                <w:bCs/>
              </w:rPr>
            </w:pPr>
          </w:p>
          <w:p w14:paraId="366AEB2A">
            <w:pPr>
              <w:pStyle w:val="17"/>
              <w:rPr>
                <w:b/>
                <w:bCs/>
              </w:rPr>
            </w:pPr>
            <w:r>
              <w:rPr>
                <w:rFonts w:hint="eastAsia"/>
                <w:b/>
                <w:bCs/>
              </w:rPr>
              <w:t>L</w:t>
            </w:r>
            <w:r>
              <w:rPr>
                <w:b/>
                <w:bCs/>
              </w:rPr>
              <w:t>04</w:t>
            </w:r>
          </w:p>
        </w:tc>
        <w:tc>
          <w:tcPr>
            <w:tcW w:w="794" w:type="dxa"/>
            <w:tcBorders>
              <w:left w:val="single" w:color="auto" w:sz="4" w:space="0"/>
            </w:tcBorders>
            <w:vAlign w:val="center"/>
          </w:tcPr>
          <w:p w14:paraId="0DB695A4">
            <w:pPr>
              <w:pStyle w:val="17"/>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 1 \* GB3</w:instrText>
            </w:r>
            <w:r>
              <w:rPr>
                <w:rFonts w:cs="Times New Roman"/>
                <w:bCs/>
              </w:rPr>
              <w:instrText xml:space="preserve"> </w:instrText>
            </w:r>
            <w:r>
              <w:rPr>
                <w:rFonts w:cs="Times New Roman"/>
                <w:bCs/>
              </w:rPr>
              <w:fldChar w:fldCharType="separate"/>
            </w:r>
            <w:r>
              <w:rPr>
                <w:rFonts w:hint="eastAsia" w:cs="Times New Roman"/>
                <w:bCs/>
              </w:rPr>
              <w:t>①</w:t>
            </w:r>
            <w:r>
              <w:rPr>
                <w:rFonts w:cs="Times New Roman"/>
                <w:bCs/>
              </w:rPr>
              <w:fldChar w:fldCharType="end"/>
            </w:r>
          </w:p>
        </w:tc>
        <w:tc>
          <w:tcPr>
            <w:tcW w:w="794" w:type="dxa"/>
            <w:tcBorders>
              <w:right w:val="double" w:color="auto" w:sz="4" w:space="0"/>
            </w:tcBorders>
            <w:shd w:val="clear" w:color="auto" w:fill="auto"/>
            <w:vAlign w:val="center"/>
          </w:tcPr>
          <w:p w14:paraId="308BA44F">
            <w:pPr>
              <w:pStyle w:val="17"/>
              <w:rPr>
                <w:rFonts w:ascii="宋体" w:hAnsi="宋体"/>
              </w:rPr>
            </w:pPr>
            <w:r>
              <w:rPr>
                <w:rFonts w:hint="eastAsia" w:ascii="宋体" w:hAnsi="宋体"/>
              </w:rPr>
              <w:t>M</w:t>
            </w:r>
          </w:p>
        </w:tc>
        <w:tc>
          <w:tcPr>
            <w:tcW w:w="4763" w:type="dxa"/>
            <w:vAlign w:val="center"/>
          </w:tcPr>
          <w:p w14:paraId="29C65261">
            <w:pPr>
              <w:pStyle w:val="17"/>
              <w:jc w:val="left"/>
              <w:rPr>
                <w:rFonts w:ascii="宋体" w:hAnsi="宋体"/>
                <w:sz w:val="20"/>
                <w:szCs w:val="20"/>
              </w:rPr>
            </w:pPr>
            <w:r>
              <w:rPr>
                <w:rFonts w:hint="eastAsia" w:ascii="宋体" w:hAnsi="宋体"/>
                <w:sz w:val="20"/>
                <w:szCs w:val="20"/>
                <w:lang w:val="en-US" w:eastAsia="zh-CN"/>
              </w:rPr>
              <w:t>2.</w:t>
            </w:r>
            <w:r>
              <w:rPr>
                <w:rFonts w:ascii="宋体" w:hAnsi="宋体"/>
                <w:sz w:val="20"/>
                <w:szCs w:val="20"/>
              </w:rPr>
              <w:t>能根据需要确定学习目标，并设计学习计划。</w:t>
            </w:r>
          </w:p>
        </w:tc>
        <w:tc>
          <w:tcPr>
            <w:tcW w:w="1348" w:type="dxa"/>
            <w:tcBorders>
              <w:right w:val="single" w:color="auto" w:sz="12" w:space="0"/>
            </w:tcBorders>
            <w:vAlign w:val="center"/>
          </w:tcPr>
          <w:p w14:paraId="44581758">
            <w:pPr>
              <w:pStyle w:val="17"/>
              <w:rPr>
                <w:rFonts w:ascii="宋体" w:hAnsi="宋体"/>
                <w:sz w:val="20"/>
                <w:szCs w:val="20"/>
              </w:rPr>
            </w:pPr>
            <w:r>
              <w:rPr>
                <w:rFonts w:hint="eastAsia" w:ascii="宋体" w:hAnsi="宋体"/>
                <w:sz w:val="20"/>
                <w:szCs w:val="20"/>
              </w:rPr>
              <w:t>50%</w:t>
            </w:r>
          </w:p>
        </w:tc>
      </w:tr>
      <w:tr w14:paraId="4C5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3860DF30">
            <w:pPr>
              <w:pStyle w:val="17"/>
              <w:rPr>
                <w:b/>
                <w:bCs/>
              </w:rPr>
            </w:pPr>
          </w:p>
        </w:tc>
        <w:tc>
          <w:tcPr>
            <w:tcW w:w="794" w:type="dxa"/>
            <w:tcBorders>
              <w:left w:val="single" w:color="auto" w:sz="4" w:space="0"/>
            </w:tcBorders>
            <w:vAlign w:val="center"/>
          </w:tcPr>
          <w:p w14:paraId="262FAD53">
            <w:pPr>
              <w:pStyle w:val="17"/>
              <w:rPr>
                <w:rFonts w:cs="Times New Roman"/>
                <w:bCs/>
              </w:rPr>
            </w:pPr>
            <w:r>
              <w:rPr>
                <w:rFonts w:hint="eastAsia" w:cs="Times New Roman"/>
                <w:bCs/>
              </w:rPr>
              <w:t>②</w:t>
            </w:r>
          </w:p>
        </w:tc>
        <w:tc>
          <w:tcPr>
            <w:tcW w:w="794" w:type="dxa"/>
            <w:tcBorders>
              <w:right w:val="double" w:color="auto" w:sz="4" w:space="0"/>
            </w:tcBorders>
            <w:shd w:val="clear" w:color="auto" w:fill="auto"/>
            <w:vAlign w:val="center"/>
          </w:tcPr>
          <w:p w14:paraId="0B739DE9">
            <w:pPr>
              <w:pStyle w:val="17"/>
              <w:rPr>
                <w:rFonts w:ascii="宋体" w:hAnsi="宋体"/>
              </w:rPr>
            </w:pPr>
            <w:r>
              <w:rPr>
                <w:rFonts w:hint="eastAsia" w:ascii="宋体" w:hAnsi="宋体"/>
              </w:rPr>
              <w:t>M</w:t>
            </w:r>
          </w:p>
        </w:tc>
        <w:tc>
          <w:tcPr>
            <w:tcW w:w="4763" w:type="dxa"/>
            <w:vAlign w:val="center"/>
          </w:tcPr>
          <w:p w14:paraId="0E2424E0">
            <w:pPr>
              <w:pStyle w:val="17"/>
              <w:numPr>
                <w:ilvl w:val="0"/>
                <w:numId w:val="0"/>
              </w:numPr>
              <w:jc w:val="left"/>
              <w:rPr>
                <w:rFonts w:ascii="宋体" w:hAnsi="宋体"/>
                <w:sz w:val="20"/>
                <w:szCs w:val="20"/>
              </w:rPr>
            </w:pPr>
            <w:r>
              <w:rPr>
                <w:rFonts w:hint="eastAsia" w:ascii="宋体" w:hAnsi="宋体"/>
                <w:sz w:val="21"/>
                <w:lang w:val="en-US" w:eastAsia="zh-CN"/>
              </w:rPr>
              <w:t>3.</w:t>
            </w:r>
            <w:r>
              <w:rPr>
                <w:rFonts w:hint="eastAsia" w:ascii="宋体" w:hAnsi="宋体"/>
                <w:sz w:val="21"/>
              </w:rPr>
              <w:t>根据需要查阅</w:t>
            </w:r>
            <w:r>
              <w:rPr>
                <w:rFonts w:hint="eastAsia" w:ascii="宋体" w:hAnsi="宋体"/>
                <w:sz w:val="21"/>
                <w:lang w:val="en-US" w:eastAsia="zh-CN"/>
              </w:rPr>
              <w:t>社区</w:t>
            </w:r>
            <w:r>
              <w:rPr>
                <w:rFonts w:hint="eastAsia" w:ascii="宋体" w:hAnsi="宋体"/>
                <w:sz w:val="21"/>
              </w:rPr>
              <w:t>护理学专业领域相关文献，能够适应不断变化的社会健康保健需求。</w:t>
            </w:r>
          </w:p>
        </w:tc>
        <w:tc>
          <w:tcPr>
            <w:tcW w:w="1348" w:type="dxa"/>
            <w:tcBorders>
              <w:right w:val="single" w:color="auto" w:sz="12" w:space="0"/>
            </w:tcBorders>
            <w:vAlign w:val="center"/>
          </w:tcPr>
          <w:p w14:paraId="1A1062FF">
            <w:pPr>
              <w:pStyle w:val="17"/>
              <w:rPr>
                <w:rFonts w:ascii="宋体" w:hAnsi="宋体"/>
                <w:sz w:val="20"/>
                <w:szCs w:val="20"/>
              </w:rPr>
            </w:pPr>
            <w:r>
              <w:rPr>
                <w:rFonts w:hint="eastAsia" w:ascii="宋体" w:hAnsi="宋体"/>
                <w:sz w:val="20"/>
                <w:szCs w:val="20"/>
              </w:rPr>
              <w:t>50%</w:t>
            </w:r>
          </w:p>
        </w:tc>
      </w:tr>
    </w:tbl>
    <w:p w14:paraId="23B4DF2B">
      <w:pPr>
        <w:pStyle w:val="19"/>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BC092E6">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2"/>
      </w:tblGrid>
      <w:tr w14:paraId="220802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trPr>
        <w:tc>
          <w:tcPr>
            <w:tcW w:w="8472" w:type="dxa"/>
          </w:tcPr>
          <w:p w14:paraId="60BB0599">
            <w:pPr>
              <w:widowControl/>
              <w:spacing w:beforeLines="50" w:afterLines="50" w:line="288" w:lineRule="auto"/>
              <w:ind w:firstLine="420" w:firstLineChars="200"/>
              <w:jc w:val="left"/>
              <w:rPr>
                <w:rFonts w:ascii="黑体" w:eastAsia="黑体"/>
              </w:rPr>
            </w:pPr>
            <w:bookmarkStart w:id="0" w:name="OLE_LINK5"/>
            <w:bookmarkStart w:id="1" w:name="OLE_LINK6"/>
            <w:r>
              <w:rPr>
                <w:rFonts w:hint="eastAsia" w:ascii="黑体" w:eastAsia="黑体"/>
                <w:sz w:val="21"/>
                <w:szCs w:val="21"/>
              </w:rPr>
              <w:t>本课程总学时为32学时，其中教师课堂理论授课学时为24学时；学生课内实践环节学时为8学时；课外练习，查阅文献及作业等时间不计在内。</w:t>
            </w:r>
          </w:p>
        </w:tc>
      </w:tr>
      <w:bookmarkEnd w:id="0"/>
      <w:bookmarkEnd w:id="1"/>
    </w:tbl>
    <w:tbl>
      <w:tblPr>
        <w:tblStyle w:val="9"/>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696"/>
        <w:gridCol w:w="2128"/>
        <w:gridCol w:w="2410"/>
        <w:gridCol w:w="1275"/>
        <w:gridCol w:w="1567"/>
      </w:tblGrid>
      <w:tr w14:paraId="3678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60" w:type="dxa"/>
            <w:vAlign w:val="center"/>
          </w:tcPr>
          <w:p w14:paraId="1AAB564C">
            <w:pPr>
              <w:snapToGrid w:val="0"/>
              <w:spacing w:line="288" w:lineRule="auto"/>
              <w:jc w:val="center"/>
              <w:rPr>
                <w:b/>
                <w:color w:val="000000"/>
                <w:sz w:val="21"/>
                <w:szCs w:val="21"/>
              </w:rPr>
            </w:pPr>
            <w:r>
              <w:rPr>
                <w:rFonts w:hint="eastAsia"/>
                <w:b/>
                <w:color w:val="000000"/>
                <w:sz w:val="21"/>
                <w:szCs w:val="21"/>
              </w:rPr>
              <w:t>序号</w:t>
            </w:r>
          </w:p>
        </w:tc>
        <w:tc>
          <w:tcPr>
            <w:tcW w:w="696" w:type="dxa"/>
            <w:vAlign w:val="center"/>
          </w:tcPr>
          <w:p w14:paraId="14281301">
            <w:pPr>
              <w:snapToGrid w:val="0"/>
              <w:spacing w:line="288" w:lineRule="auto"/>
              <w:jc w:val="center"/>
              <w:rPr>
                <w:b/>
                <w:color w:val="000000"/>
                <w:sz w:val="21"/>
                <w:szCs w:val="21"/>
              </w:rPr>
            </w:pPr>
            <w:r>
              <w:rPr>
                <w:rFonts w:hint="eastAsia"/>
                <w:b/>
                <w:color w:val="000000"/>
                <w:sz w:val="21"/>
                <w:szCs w:val="21"/>
              </w:rPr>
              <w:t>单元名称</w:t>
            </w:r>
          </w:p>
        </w:tc>
        <w:tc>
          <w:tcPr>
            <w:tcW w:w="2128" w:type="dxa"/>
            <w:vAlign w:val="center"/>
          </w:tcPr>
          <w:p w14:paraId="52FFABB9">
            <w:pPr>
              <w:snapToGrid w:val="0"/>
              <w:spacing w:line="288" w:lineRule="auto"/>
              <w:jc w:val="center"/>
              <w:rPr>
                <w:b/>
                <w:color w:val="000000"/>
                <w:sz w:val="21"/>
                <w:szCs w:val="21"/>
              </w:rPr>
            </w:pPr>
            <w:r>
              <w:rPr>
                <w:rFonts w:hint="eastAsia"/>
                <w:b/>
                <w:color w:val="000000"/>
                <w:sz w:val="21"/>
                <w:szCs w:val="21"/>
              </w:rPr>
              <w:t>知识目标</w:t>
            </w:r>
          </w:p>
        </w:tc>
        <w:tc>
          <w:tcPr>
            <w:tcW w:w="2410" w:type="dxa"/>
            <w:vAlign w:val="center"/>
          </w:tcPr>
          <w:p w14:paraId="3F8C6BCA">
            <w:pPr>
              <w:snapToGrid w:val="0"/>
              <w:spacing w:line="288" w:lineRule="auto"/>
              <w:jc w:val="center"/>
              <w:rPr>
                <w:b/>
                <w:color w:val="000000"/>
                <w:sz w:val="21"/>
                <w:szCs w:val="21"/>
              </w:rPr>
            </w:pPr>
            <w:r>
              <w:rPr>
                <w:rFonts w:hint="eastAsia"/>
                <w:b/>
                <w:color w:val="000000"/>
                <w:sz w:val="21"/>
                <w:szCs w:val="21"/>
              </w:rPr>
              <w:t>能力目标</w:t>
            </w:r>
          </w:p>
        </w:tc>
        <w:tc>
          <w:tcPr>
            <w:tcW w:w="1275" w:type="dxa"/>
            <w:vAlign w:val="center"/>
          </w:tcPr>
          <w:p w14:paraId="131CB6DD">
            <w:pPr>
              <w:snapToGrid w:val="0"/>
              <w:spacing w:line="288" w:lineRule="auto"/>
              <w:jc w:val="center"/>
              <w:rPr>
                <w:b/>
                <w:color w:val="000000"/>
                <w:sz w:val="21"/>
                <w:szCs w:val="21"/>
              </w:rPr>
            </w:pPr>
            <w:r>
              <w:rPr>
                <w:rFonts w:hint="eastAsia"/>
                <w:b/>
                <w:color w:val="000000"/>
                <w:sz w:val="21"/>
                <w:szCs w:val="21"/>
              </w:rPr>
              <w:t>情感目标</w:t>
            </w:r>
          </w:p>
        </w:tc>
        <w:tc>
          <w:tcPr>
            <w:tcW w:w="1567" w:type="dxa"/>
            <w:vAlign w:val="center"/>
          </w:tcPr>
          <w:p w14:paraId="352129DD">
            <w:pPr>
              <w:snapToGrid w:val="0"/>
              <w:spacing w:line="288" w:lineRule="auto"/>
              <w:jc w:val="center"/>
              <w:rPr>
                <w:b/>
                <w:color w:val="000000"/>
                <w:sz w:val="21"/>
                <w:szCs w:val="21"/>
              </w:rPr>
            </w:pPr>
            <w:r>
              <w:rPr>
                <w:rFonts w:hint="eastAsia"/>
                <w:b/>
                <w:color w:val="000000"/>
                <w:sz w:val="21"/>
                <w:szCs w:val="21"/>
              </w:rPr>
              <w:t>教学重点及难点</w:t>
            </w:r>
          </w:p>
        </w:tc>
      </w:tr>
      <w:tr w14:paraId="2B7A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3C37B1A7">
            <w:pPr>
              <w:rPr>
                <w:color w:val="000000"/>
                <w:sz w:val="21"/>
                <w:szCs w:val="21"/>
              </w:rPr>
            </w:pPr>
            <w:r>
              <w:rPr>
                <w:color w:val="000000"/>
                <w:sz w:val="21"/>
                <w:szCs w:val="21"/>
              </w:rPr>
              <w:t>1</w:t>
            </w:r>
          </w:p>
        </w:tc>
        <w:tc>
          <w:tcPr>
            <w:tcW w:w="696" w:type="dxa"/>
            <w:vAlign w:val="center"/>
          </w:tcPr>
          <w:p w14:paraId="622A2229">
            <w:pPr>
              <w:jc w:val="left"/>
              <w:rPr>
                <w:rFonts w:ascii="宋体" w:hAnsi="宋体" w:eastAsia="宋体"/>
                <w:sz w:val="20"/>
                <w:szCs w:val="20"/>
              </w:rPr>
            </w:pPr>
            <w:r>
              <w:rPr>
                <w:rFonts w:ascii="宋体" w:hAnsi="宋体" w:eastAsia="宋体"/>
                <w:sz w:val="20"/>
                <w:szCs w:val="20"/>
              </w:rPr>
              <w:t>概述</w:t>
            </w:r>
          </w:p>
          <w:p w14:paraId="37DE60B5">
            <w:pPr>
              <w:jc w:val="left"/>
              <w:rPr>
                <w:color w:val="000000"/>
                <w:sz w:val="21"/>
                <w:szCs w:val="21"/>
              </w:rPr>
            </w:pPr>
          </w:p>
        </w:tc>
        <w:tc>
          <w:tcPr>
            <w:tcW w:w="2128" w:type="dxa"/>
            <w:vAlign w:val="top"/>
          </w:tcPr>
          <w:p w14:paraId="36D77C3D">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社区、社区卫生服务、社区护理的概念;社区卫生服务、社区护理的特点;社区护士的工作内容;社区护士的角色和能力要求。</w:t>
            </w:r>
          </w:p>
          <w:p w14:paraId="793201FD">
            <w:pPr>
              <w:jc w:val="left"/>
              <w:rPr>
                <w:rFonts w:hint="eastAsia"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社区的分类、构成要素和功能;社区护理的功能和作用;社区护理的相关政策法规和伦理规范;社区护士的基本条件</w:t>
            </w:r>
            <w:r>
              <w:rPr>
                <w:rFonts w:hint="eastAsia" w:ascii="宋体" w:hAnsi="宋体" w:eastAsia="宋体"/>
                <w:sz w:val="20"/>
                <w:szCs w:val="20"/>
              </w:rPr>
              <w:t>。</w:t>
            </w:r>
          </w:p>
          <w:p w14:paraId="0BF7AE0C">
            <w:pPr>
              <w:jc w:val="left"/>
              <w:rPr>
                <w:color w:val="000000"/>
                <w:sz w:val="21"/>
                <w:szCs w:val="21"/>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社区健康的概念;发展社区护理的意义;社区护理的发展趋势。</w:t>
            </w:r>
          </w:p>
        </w:tc>
        <w:tc>
          <w:tcPr>
            <w:tcW w:w="2410" w:type="dxa"/>
            <w:vAlign w:val="top"/>
          </w:tcPr>
          <w:p w14:paraId="6430854A">
            <w:pPr>
              <w:jc w:val="left"/>
              <w:rPr>
                <w:rFonts w:ascii="宋体" w:hAnsi="宋体" w:eastAsia="宋体"/>
                <w:sz w:val="20"/>
                <w:szCs w:val="20"/>
              </w:rPr>
            </w:pPr>
            <w:r>
              <w:rPr>
                <w:rFonts w:ascii="宋体" w:hAnsi="宋体" w:eastAsia="宋体"/>
                <w:sz w:val="20"/>
                <w:szCs w:val="20"/>
              </w:rPr>
              <w:t>能掌握社区护理的基本理念,理解社区护理基本功能</w:t>
            </w:r>
            <w:r>
              <w:rPr>
                <w:rFonts w:hint="eastAsia" w:ascii="宋体" w:hAnsi="宋体" w:eastAsia="宋体"/>
                <w:sz w:val="20"/>
                <w:szCs w:val="20"/>
              </w:rPr>
              <w:t>。</w:t>
            </w:r>
          </w:p>
          <w:p w14:paraId="6509C813">
            <w:pPr>
              <w:jc w:val="left"/>
              <w:rPr>
                <w:color w:val="000000"/>
                <w:sz w:val="21"/>
                <w:szCs w:val="21"/>
              </w:rPr>
            </w:pPr>
          </w:p>
        </w:tc>
        <w:tc>
          <w:tcPr>
            <w:tcW w:w="1275" w:type="dxa"/>
            <w:vAlign w:val="top"/>
          </w:tcPr>
          <w:p w14:paraId="570AEACF">
            <w:pPr>
              <w:jc w:val="left"/>
              <w:rPr>
                <w:color w:val="000000"/>
                <w:sz w:val="21"/>
                <w:szCs w:val="21"/>
              </w:rPr>
            </w:pPr>
            <w:r>
              <w:rPr>
                <w:rFonts w:ascii="宋体" w:hAnsi="宋体" w:eastAsia="宋体"/>
                <w:sz w:val="20"/>
                <w:szCs w:val="20"/>
              </w:rPr>
              <w:t>理解社区护理在维护和促进社区及居民健康作用和专业价值,培养良好的职业素质和责任感</w:t>
            </w:r>
            <w:r>
              <w:rPr>
                <w:rFonts w:hint="eastAsia" w:ascii="宋体" w:hAnsi="宋体" w:eastAsia="宋体"/>
                <w:sz w:val="20"/>
                <w:szCs w:val="20"/>
              </w:rPr>
              <w:t>。</w:t>
            </w:r>
          </w:p>
        </w:tc>
        <w:tc>
          <w:tcPr>
            <w:tcW w:w="1567" w:type="dxa"/>
            <w:vAlign w:val="top"/>
          </w:tcPr>
          <w:p w14:paraId="22E567D5">
            <w:pPr>
              <w:jc w:val="left"/>
              <w:rPr>
                <w:color w:val="000000"/>
                <w:sz w:val="21"/>
                <w:szCs w:val="21"/>
              </w:rPr>
            </w:pPr>
            <w:r>
              <w:rPr>
                <w:rFonts w:ascii="宋体" w:hAnsi="宋体" w:eastAsia="宋体"/>
                <w:sz w:val="20"/>
                <w:szCs w:val="20"/>
              </w:rPr>
              <w:t>社区卫生服务与社区护理的特点。</w:t>
            </w:r>
          </w:p>
        </w:tc>
      </w:tr>
      <w:tr w14:paraId="5C14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360" w:type="dxa"/>
            <w:vAlign w:val="center"/>
          </w:tcPr>
          <w:p w14:paraId="042DBEB5">
            <w:pPr>
              <w:rPr>
                <w:color w:val="000000"/>
                <w:sz w:val="21"/>
                <w:szCs w:val="21"/>
              </w:rPr>
            </w:pPr>
            <w:r>
              <w:rPr>
                <w:rFonts w:hint="eastAsia"/>
                <w:color w:val="000000"/>
                <w:sz w:val="21"/>
                <w:szCs w:val="21"/>
              </w:rPr>
              <w:t>2</w:t>
            </w:r>
          </w:p>
        </w:tc>
        <w:tc>
          <w:tcPr>
            <w:tcW w:w="696" w:type="dxa"/>
            <w:vAlign w:val="center"/>
          </w:tcPr>
          <w:p w14:paraId="15B70381">
            <w:pPr>
              <w:jc w:val="left"/>
              <w:rPr>
                <w:color w:val="000000"/>
                <w:sz w:val="21"/>
                <w:szCs w:val="21"/>
              </w:rPr>
            </w:pPr>
            <w:r>
              <w:rPr>
                <w:rFonts w:hint="eastAsia" w:ascii="宋体" w:hAnsi="宋体" w:eastAsia="宋体"/>
                <w:sz w:val="20"/>
                <w:szCs w:val="20"/>
              </w:rPr>
              <w:t>社区卫生服务体系与模式</w:t>
            </w:r>
          </w:p>
        </w:tc>
        <w:tc>
          <w:tcPr>
            <w:tcW w:w="2128" w:type="dxa"/>
            <w:vAlign w:val="top"/>
          </w:tcPr>
          <w:p w14:paraId="206DA28C">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公共卫生、初级卫生保健、家庭医生签约服务、分级诊疗、双向转诊的概念</w:t>
            </w:r>
            <w:r>
              <w:rPr>
                <w:rFonts w:hint="eastAsia" w:ascii="宋体" w:hAnsi="宋体" w:eastAsia="宋体"/>
                <w:sz w:val="20"/>
                <w:szCs w:val="20"/>
              </w:rPr>
              <w:t>。</w:t>
            </w:r>
          </w:p>
          <w:p w14:paraId="4A203DB4">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理解</w:t>
            </w:r>
            <w:r>
              <w:rPr>
                <w:rFonts w:ascii="宋体" w:hAnsi="宋体" w:eastAsia="宋体"/>
                <w:sz w:val="20"/>
                <w:szCs w:val="20"/>
              </w:rPr>
              <w:t>国家基本公共卫生服务规范的项目及内容。</w:t>
            </w:r>
          </w:p>
          <w:p w14:paraId="4634BB7C">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知道</w:t>
            </w:r>
            <w:r>
              <w:rPr>
                <w:rFonts w:ascii="宋体" w:hAnsi="宋体" w:eastAsia="宋体"/>
                <w:sz w:val="20"/>
                <w:szCs w:val="20"/>
              </w:rPr>
              <w:t>社区卫生服务组织体系及社区卫生服务功能;了解我国社区卫生服务的相关政策</w:t>
            </w:r>
            <w:r>
              <w:rPr>
                <w:rFonts w:hint="eastAsia" w:ascii="宋体" w:hAnsi="宋体" w:eastAsia="宋体"/>
                <w:sz w:val="20"/>
                <w:szCs w:val="20"/>
              </w:rPr>
              <w:t>。</w:t>
            </w:r>
          </w:p>
          <w:p w14:paraId="1F5BD1EF">
            <w:pPr>
              <w:jc w:val="left"/>
              <w:rPr>
                <w:rFonts w:hint="eastAsia" w:ascii="宋体" w:hAnsi="宋体" w:eastAsia="宋体"/>
                <w:sz w:val="20"/>
                <w:szCs w:val="20"/>
              </w:rPr>
            </w:pPr>
          </w:p>
          <w:p w14:paraId="37616799">
            <w:pPr>
              <w:jc w:val="left"/>
              <w:rPr>
                <w:color w:val="000000"/>
                <w:sz w:val="21"/>
                <w:szCs w:val="21"/>
              </w:rPr>
            </w:pPr>
          </w:p>
        </w:tc>
        <w:tc>
          <w:tcPr>
            <w:tcW w:w="2410" w:type="dxa"/>
            <w:vAlign w:val="top"/>
          </w:tcPr>
          <w:p w14:paraId="2A0EAE49">
            <w:pPr>
              <w:jc w:val="left"/>
              <w:rPr>
                <w:rFonts w:ascii="宋体" w:hAnsi="宋体" w:eastAsia="宋体"/>
                <w:sz w:val="20"/>
                <w:szCs w:val="20"/>
              </w:rPr>
            </w:pPr>
            <w:r>
              <w:rPr>
                <w:rFonts w:ascii="宋体" w:hAnsi="宋体" w:eastAsia="宋体"/>
                <w:sz w:val="20"/>
                <w:szCs w:val="20"/>
              </w:rPr>
              <w:t>1.能根据国家基本公共卫生服务规范的要求,为居民提供基本公共卫生服务。</w:t>
            </w:r>
          </w:p>
          <w:p w14:paraId="26D7EAD7">
            <w:pPr>
              <w:jc w:val="left"/>
              <w:rPr>
                <w:rFonts w:ascii="宋体" w:hAnsi="宋体" w:eastAsia="宋体"/>
                <w:sz w:val="20"/>
                <w:szCs w:val="20"/>
              </w:rPr>
            </w:pPr>
            <w:r>
              <w:rPr>
                <w:rFonts w:ascii="宋体" w:hAnsi="宋体" w:eastAsia="宋体"/>
                <w:sz w:val="20"/>
                <w:szCs w:val="20"/>
              </w:rPr>
              <w:t>2.能根据家庭医生签约服务的工作内容,为签约服务对象做好健康服务</w:t>
            </w:r>
            <w:r>
              <w:rPr>
                <w:rFonts w:hint="eastAsia" w:ascii="宋体" w:hAnsi="宋体" w:eastAsia="宋体"/>
                <w:sz w:val="20"/>
                <w:szCs w:val="20"/>
              </w:rPr>
              <w:t>。</w:t>
            </w:r>
          </w:p>
          <w:p w14:paraId="1EEFE451">
            <w:pPr>
              <w:jc w:val="left"/>
              <w:rPr>
                <w:color w:val="000000"/>
                <w:sz w:val="21"/>
                <w:szCs w:val="21"/>
              </w:rPr>
            </w:pPr>
            <w:r>
              <w:rPr>
                <w:rFonts w:ascii="宋体" w:hAnsi="宋体" w:eastAsia="宋体"/>
                <w:sz w:val="20"/>
                <w:szCs w:val="20"/>
              </w:rPr>
              <w:t>3.能根据双向转诊的条件和流程,配合医生完成双向转诊工作。</w:t>
            </w:r>
          </w:p>
        </w:tc>
        <w:tc>
          <w:tcPr>
            <w:tcW w:w="1275" w:type="dxa"/>
            <w:vAlign w:val="top"/>
          </w:tcPr>
          <w:p w14:paraId="31547AE0">
            <w:pPr>
              <w:jc w:val="left"/>
              <w:rPr>
                <w:color w:val="000000"/>
                <w:sz w:val="21"/>
                <w:szCs w:val="21"/>
              </w:rPr>
            </w:pPr>
            <w:r>
              <w:rPr>
                <w:rFonts w:ascii="宋体" w:hAnsi="宋体" w:eastAsia="宋体"/>
                <w:sz w:val="20"/>
                <w:szCs w:val="20"/>
              </w:rPr>
              <w:t>培养良好的职业素质和职业道德,增强服务意识,做好社区卫生服务相关工作</w:t>
            </w:r>
            <w:r>
              <w:rPr>
                <w:rFonts w:hint="eastAsia" w:ascii="宋体" w:hAnsi="宋体" w:eastAsia="宋体"/>
                <w:sz w:val="20"/>
                <w:szCs w:val="20"/>
              </w:rPr>
              <w:t>。</w:t>
            </w:r>
          </w:p>
        </w:tc>
        <w:tc>
          <w:tcPr>
            <w:tcW w:w="1567" w:type="dxa"/>
            <w:vAlign w:val="top"/>
          </w:tcPr>
          <w:p w14:paraId="652D8950">
            <w:pPr>
              <w:jc w:val="left"/>
              <w:rPr>
                <w:rFonts w:hint="eastAsia" w:ascii="宋体" w:hAnsi="宋体" w:eastAsia="宋体"/>
                <w:sz w:val="20"/>
                <w:szCs w:val="20"/>
              </w:rPr>
            </w:pPr>
            <w:r>
              <w:rPr>
                <w:rFonts w:hint="eastAsia" w:ascii="宋体" w:hAnsi="宋体" w:eastAsia="宋体"/>
                <w:sz w:val="20"/>
                <w:szCs w:val="20"/>
              </w:rPr>
              <w:t>1</w:t>
            </w:r>
            <w:r>
              <w:rPr>
                <w:rFonts w:ascii="宋体" w:hAnsi="宋体" w:eastAsia="宋体"/>
                <w:sz w:val="20"/>
                <w:szCs w:val="20"/>
              </w:rPr>
              <w:t>.分级诊疗、双向转诊的概念</w:t>
            </w:r>
            <w:r>
              <w:rPr>
                <w:rFonts w:hint="eastAsia" w:ascii="宋体" w:hAnsi="宋体" w:eastAsia="宋体"/>
                <w:sz w:val="20"/>
                <w:szCs w:val="20"/>
              </w:rPr>
              <w:t>。</w:t>
            </w:r>
          </w:p>
          <w:p w14:paraId="7C8DAA3A">
            <w:pPr>
              <w:jc w:val="left"/>
              <w:rPr>
                <w:color w:val="000000"/>
                <w:sz w:val="21"/>
                <w:szCs w:val="21"/>
              </w:rPr>
            </w:pPr>
            <w:r>
              <w:rPr>
                <w:rFonts w:hint="eastAsia" w:ascii="宋体" w:hAnsi="宋体" w:eastAsia="宋体"/>
                <w:sz w:val="20"/>
                <w:szCs w:val="20"/>
              </w:rPr>
              <w:t>2</w:t>
            </w:r>
            <w:r>
              <w:rPr>
                <w:rFonts w:ascii="宋体" w:hAnsi="宋体" w:eastAsia="宋体"/>
                <w:sz w:val="20"/>
                <w:szCs w:val="20"/>
              </w:rPr>
              <w:t>.双向转诊的条件和流程,配合医生完成双向转诊工作。</w:t>
            </w:r>
          </w:p>
        </w:tc>
      </w:tr>
      <w:tr w14:paraId="0EC7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360" w:type="dxa"/>
            <w:vAlign w:val="center"/>
          </w:tcPr>
          <w:p w14:paraId="4AAAFC87">
            <w:pPr>
              <w:rPr>
                <w:color w:val="000000"/>
                <w:sz w:val="21"/>
                <w:szCs w:val="21"/>
              </w:rPr>
            </w:pPr>
            <w:r>
              <w:rPr>
                <w:rFonts w:hint="eastAsia"/>
                <w:color w:val="000000"/>
                <w:sz w:val="21"/>
                <w:szCs w:val="21"/>
              </w:rPr>
              <w:t>3</w:t>
            </w:r>
          </w:p>
        </w:tc>
        <w:tc>
          <w:tcPr>
            <w:tcW w:w="696" w:type="dxa"/>
            <w:vAlign w:val="center"/>
          </w:tcPr>
          <w:p w14:paraId="113957BF">
            <w:pPr>
              <w:jc w:val="left"/>
              <w:rPr>
                <w:color w:val="000000"/>
                <w:sz w:val="21"/>
                <w:szCs w:val="21"/>
              </w:rPr>
            </w:pPr>
            <w:r>
              <w:rPr>
                <w:rFonts w:hint="eastAsia" w:ascii="宋体" w:hAnsi="宋体" w:eastAsia="宋体"/>
                <w:sz w:val="20"/>
                <w:szCs w:val="20"/>
              </w:rPr>
              <w:t>社区健康管理</w:t>
            </w:r>
          </w:p>
        </w:tc>
        <w:tc>
          <w:tcPr>
            <w:tcW w:w="2128" w:type="dxa"/>
            <w:vAlign w:val="top"/>
          </w:tcPr>
          <w:p w14:paraId="0A5F1001">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w:t>
            </w:r>
            <w:r>
              <w:rPr>
                <w:rFonts w:hint="eastAsia" w:ascii="宋体" w:hAnsi="宋体" w:eastAsia="宋体"/>
                <w:sz w:val="20"/>
                <w:szCs w:val="20"/>
              </w:rPr>
              <w:t>知道</w:t>
            </w:r>
            <w:r>
              <w:rPr>
                <w:rFonts w:ascii="宋体" w:hAnsi="宋体" w:eastAsia="宋体"/>
                <w:sz w:val="20"/>
                <w:szCs w:val="20"/>
              </w:rPr>
              <w:t>社区诊断、社区护理评估和社区护理诊断/问题的概念</w:t>
            </w:r>
            <w:r>
              <w:rPr>
                <w:rFonts w:hint="eastAsia" w:ascii="宋体" w:hAnsi="宋体" w:eastAsia="宋体"/>
                <w:sz w:val="20"/>
                <w:szCs w:val="20"/>
              </w:rPr>
              <w:t>。</w:t>
            </w:r>
          </w:p>
          <w:p w14:paraId="5FDA6A1D">
            <w:pPr>
              <w:jc w:val="left"/>
              <w:rPr>
                <w:rFonts w:hint="eastAsia" w:ascii="宋体" w:hAnsi="宋体" w:eastAsia="宋体"/>
                <w:sz w:val="20"/>
                <w:szCs w:val="20"/>
              </w:rPr>
            </w:pPr>
            <w:r>
              <w:rPr>
                <w:rFonts w:hint="eastAsia" w:ascii="宋体" w:hAnsi="宋体" w:eastAsia="宋体"/>
                <w:sz w:val="20"/>
                <w:szCs w:val="20"/>
              </w:rPr>
              <w:t>2</w:t>
            </w:r>
            <w:r>
              <w:rPr>
                <w:rFonts w:ascii="宋体" w:hAnsi="宋体" w:eastAsia="宋体"/>
                <w:sz w:val="20"/>
                <w:szCs w:val="20"/>
              </w:rPr>
              <w:t>.</w:t>
            </w:r>
            <w:r>
              <w:rPr>
                <w:rFonts w:hint="eastAsia" w:ascii="宋体" w:hAnsi="宋体" w:eastAsia="宋体"/>
                <w:sz w:val="20"/>
                <w:szCs w:val="20"/>
              </w:rPr>
              <w:t>知道</w:t>
            </w:r>
            <w:r>
              <w:rPr>
                <w:rFonts w:ascii="宋体" w:hAnsi="宋体" w:eastAsia="宋体"/>
                <w:sz w:val="20"/>
                <w:szCs w:val="20"/>
              </w:rPr>
              <w:t>社区护理评估的内容及方法</w:t>
            </w:r>
            <w:r>
              <w:rPr>
                <w:rFonts w:hint="eastAsia" w:ascii="宋体" w:hAnsi="宋体" w:eastAsia="宋体"/>
                <w:sz w:val="20"/>
                <w:szCs w:val="20"/>
              </w:rPr>
              <w:t>。</w:t>
            </w:r>
          </w:p>
          <w:p w14:paraId="114A2109">
            <w:pPr>
              <w:jc w:val="left"/>
              <w:rPr>
                <w:rFonts w:hint="eastAsia" w:ascii="宋体" w:hAnsi="宋体" w:eastAsia="宋体"/>
                <w:sz w:val="20"/>
                <w:szCs w:val="20"/>
              </w:rPr>
            </w:pPr>
            <w:r>
              <w:rPr>
                <w:rFonts w:hint="eastAsia" w:ascii="宋体" w:hAnsi="宋体" w:eastAsia="宋体"/>
                <w:sz w:val="20"/>
                <w:szCs w:val="20"/>
              </w:rPr>
              <w:t>3</w:t>
            </w:r>
            <w:r>
              <w:rPr>
                <w:rFonts w:ascii="宋体" w:hAnsi="宋体" w:eastAsia="宋体"/>
                <w:sz w:val="20"/>
                <w:szCs w:val="20"/>
              </w:rPr>
              <w:t>.</w:t>
            </w:r>
            <w:r>
              <w:rPr>
                <w:rFonts w:hint="eastAsia" w:ascii="宋体" w:hAnsi="宋体" w:eastAsia="宋体"/>
                <w:sz w:val="20"/>
                <w:szCs w:val="20"/>
              </w:rPr>
              <w:t>知道</w:t>
            </w:r>
            <w:r>
              <w:rPr>
                <w:rFonts w:ascii="宋体" w:hAnsi="宋体" w:eastAsia="宋体"/>
                <w:sz w:val="20"/>
                <w:szCs w:val="20"/>
              </w:rPr>
              <w:t>社区护理诊断/问题的排序原则。</w:t>
            </w:r>
          </w:p>
          <w:p w14:paraId="0BAD2485">
            <w:pPr>
              <w:jc w:val="left"/>
              <w:rPr>
                <w:rFonts w:ascii="宋体" w:hAnsi="宋体" w:eastAsia="宋体"/>
                <w:sz w:val="20"/>
                <w:szCs w:val="20"/>
              </w:rPr>
            </w:pPr>
            <w:r>
              <w:rPr>
                <w:rFonts w:ascii="宋体" w:hAnsi="宋体" w:eastAsia="宋体"/>
                <w:sz w:val="20"/>
                <w:szCs w:val="20"/>
              </w:rPr>
              <w:t>4.</w:t>
            </w:r>
            <w:r>
              <w:rPr>
                <w:rFonts w:hint="eastAsia" w:ascii="宋体" w:hAnsi="宋体" w:eastAsia="宋体"/>
                <w:sz w:val="20"/>
                <w:szCs w:val="20"/>
              </w:rPr>
              <w:t>知道</w:t>
            </w:r>
            <w:r>
              <w:rPr>
                <w:rFonts w:ascii="宋体" w:hAnsi="宋体" w:eastAsia="宋体"/>
                <w:sz w:val="20"/>
                <w:szCs w:val="20"/>
              </w:rPr>
              <w:t>社区诊断的内容及方法</w:t>
            </w:r>
            <w:r>
              <w:rPr>
                <w:rFonts w:hint="eastAsia" w:ascii="宋体" w:hAnsi="宋体" w:eastAsia="宋体"/>
                <w:sz w:val="20"/>
                <w:szCs w:val="20"/>
              </w:rPr>
              <w:t>。</w:t>
            </w:r>
          </w:p>
          <w:p w14:paraId="7F72AA3B">
            <w:pPr>
              <w:jc w:val="left"/>
              <w:rPr>
                <w:color w:val="000000"/>
                <w:sz w:val="21"/>
                <w:szCs w:val="21"/>
              </w:rPr>
            </w:pPr>
            <w:r>
              <w:rPr>
                <w:rFonts w:ascii="宋体" w:hAnsi="宋体" w:eastAsia="宋体"/>
                <w:sz w:val="20"/>
                <w:szCs w:val="20"/>
              </w:rPr>
              <w:t>5.</w:t>
            </w:r>
            <w:r>
              <w:rPr>
                <w:rFonts w:hint="eastAsia" w:ascii="宋体" w:hAnsi="宋体" w:eastAsia="宋体"/>
                <w:sz w:val="20"/>
                <w:szCs w:val="20"/>
              </w:rPr>
              <w:t>理解</w:t>
            </w:r>
            <w:r>
              <w:rPr>
                <w:rFonts w:ascii="宋体" w:hAnsi="宋体" w:eastAsia="宋体"/>
                <w:sz w:val="20"/>
                <w:szCs w:val="20"/>
              </w:rPr>
              <w:t xml:space="preserve"> OMAHA的问题分类、干预分类和结果评定系统。</w:t>
            </w:r>
          </w:p>
        </w:tc>
        <w:tc>
          <w:tcPr>
            <w:tcW w:w="2410" w:type="dxa"/>
            <w:vAlign w:val="top"/>
          </w:tcPr>
          <w:p w14:paraId="7C4E45B1">
            <w:pPr>
              <w:jc w:val="left"/>
              <w:rPr>
                <w:rFonts w:ascii="宋体" w:hAnsi="宋体" w:eastAsia="宋体"/>
                <w:sz w:val="20"/>
                <w:szCs w:val="20"/>
              </w:rPr>
            </w:pPr>
            <w:r>
              <w:rPr>
                <w:rFonts w:ascii="宋体" w:hAnsi="宋体" w:eastAsia="宋体"/>
                <w:sz w:val="20"/>
                <w:szCs w:val="20"/>
              </w:rPr>
              <w:t>能够运用护理程序对社区人群进行健康管理。</w:t>
            </w:r>
          </w:p>
          <w:p w14:paraId="56AB9CFD">
            <w:pPr>
              <w:jc w:val="left"/>
              <w:rPr>
                <w:color w:val="000000"/>
                <w:sz w:val="21"/>
                <w:szCs w:val="21"/>
              </w:rPr>
            </w:pPr>
          </w:p>
        </w:tc>
        <w:tc>
          <w:tcPr>
            <w:tcW w:w="1275" w:type="dxa"/>
            <w:vAlign w:val="top"/>
          </w:tcPr>
          <w:p w14:paraId="156A8900">
            <w:pPr>
              <w:jc w:val="left"/>
              <w:rPr>
                <w:color w:val="000000"/>
                <w:sz w:val="21"/>
                <w:szCs w:val="21"/>
              </w:rPr>
            </w:pPr>
            <w:r>
              <w:rPr>
                <w:rFonts w:ascii="宋体" w:hAnsi="宋体" w:eastAsia="宋体"/>
                <w:sz w:val="20"/>
                <w:szCs w:val="20"/>
              </w:rPr>
              <w:t>具有现代的健康观和医学观,具备良好的职业素养</w:t>
            </w:r>
            <w:r>
              <w:rPr>
                <w:rFonts w:hint="eastAsia" w:ascii="宋体" w:hAnsi="宋体" w:eastAsia="宋体"/>
                <w:sz w:val="20"/>
                <w:szCs w:val="20"/>
              </w:rPr>
              <w:t>。</w:t>
            </w:r>
          </w:p>
        </w:tc>
        <w:tc>
          <w:tcPr>
            <w:tcW w:w="1567" w:type="dxa"/>
            <w:vAlign w:val="top"/>
          </w:tcPr>
          <w:p w14:paraId="3A01AAFA">
            <w:pPr>
              <w:jc w:val="left"/>
              <w:rPr>
                <w:rFonts w:hint="eastAsia" w:ascii="宋体" w:hAnsi="宋体" w:eastAsia="宋体"/>
                <w:sz w:val="20"/>
                <w:szCs w:val="20"/>
              </w:rPr>
            </w:pPr>
            <w:r>
              <w:rPr>
                <w:rFonts w:ascii="宋体" w:hAnsi="宋体" w:eastAsia="宋体"/>
                <w:sz w:val="20"/>
                <w:szCs w:val="20"/>
              </w:rPr>
              <w:t>1.社区护理评估的内容及方法</w:t>
            </w:r>
            <w:r>
              <w:rPr>
                <w:rFonts w:hint="eastAsia" w:ascii="宋体" w:hAnsi="宋体" w:eastAsia="宋体"/>
                <w:sz w:val="20"/>
                <w:szCs w:val="20"/>
              </w:rPr>
              <w:t>。</w:t>
            </w:r>
          </w:p>
          <w:p w14:paraId="37ECF565">
            <w:pPr>
              <w:jc w:val="left"/>
              <w:rPr>
                <w:rFonts w:ascii="宋体" w:hAnsi="宋体" w:eastAsia="宋体"/>
                <w:sz w:val="20"/>
                <w:szCs w:val="20"/>
              </w:rPr>
            </w:pPr>
            <w:r>
              <w:rPr>
                <w:rFonts w:ascii="宋体" w:hAnsi="宋体" w:eastAsia="宋体"/>
                <w:sz w:val="20"/>
                <w:szCs w:val="20"/>
              </w:rPr>
              <w:t>2.社区护理诊断/问题的排序原则。</w:t>
            </w:r>
          </w:p>
          <w:p w14:paraId="4515FE81">
            <w:pPr>
              <w:jc w:val="left"/>
              <w:rPr>
                <w:color w:val="000000"/>
                <w:sz w:val="21"/>
                <w:szCs w:val="21"/>
              </w:rPr>
            </w:pPr>
          </w:p>
        </w:tc>
      </w:tr>
      <w:tr w14:paraId="79CC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60" w:type="dxa"/>
            <w:vAlign w:val="center"/>
          </w:tcPr>
          <w:p w14:paraId="0AA0E6ED">
            <w:pPr>
              <w:rPr>
                <w:color w:val="000000"/>
                <w:sz w:val="21"/>
                <w:szCs w:val="21"/>
              </w:rPr>
            </w:pPr>
            <w:r>
              <w:rPr>
                <w:rFonts w:hint="eastAsia"/>
                <w:color w:val="000000"/>
                <w:sz w:val="21"/>
                <w:szCs w:val="21"/>
              </w:rPr>
              <w:t>4</w:t>
            </w:r>
          </w:p>
        </w:tc>
        <w:tc>
          <w:tcPr>
            <w:tcW w:w="696" w:type="dxa"/>
            <w:vAlign w:val="center"/>
          </w:tcPr>
          <w:p w14:paraId="47D75FFD">
            <w:pPr>
              <w:jc w:val="left"/>
              <w:rPr>
                <w:color w:val="000000"/>
                <w:sz w:val="21"/>
                <w:szCs w:val="21"/>
              </w:rPr>
            </w:pPr>
            <w:r>
              <w:rPr>
                <w:rFonts w:hint="eastAsia" w:ascii="宋体" w:hAnsi="宋体" w:eastAsia="宋体"/>
                <w:sz w:val="20"/>
                <w:szCs w:val="20"/>
              </w:rPr>
              <w:t>社区健康相关行为管理</w:t>
            </w:r>
          </w:p>
        </w:tc>
        <w:tc>
          <w:tcPr>
            <w:tcW w:w="2128" w:type="dxa"/>
            <w:vAlign w:val="top"/>
          </w:tcPr>
          <w:p w14:paraId="5BAA06AF">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健康相关行为概念、类型及影响因素,健康相关行为干预策略;合理营养与平衡膳食的概念及要点;身体活动的概念;烟草依赖、酒精滥用及酒精依赖的概念</w:t>
            </w:r>
            <w:r>
              <w:rPr>
                <w:rFonts w:hint="eastAsia" w:ascii="宋体" w:hAnsi="宋体" w:eastAsia="宋体"/>
                <w:sz w:val="20"/>
                <w:szCs w:val="20"/>
              </w:rPr>
              <w:t>。</w:t>
            </w:r>
          </w:p>
          <w:p w14:paraId="1E5C71A6">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中国居民膳食要求,社区营养管理实施策略与行动;身体活动分类与身体活动强度;吸烟行为、酒精依赖行为的矫治。</w:t>
            </w:r>
          </w:p>
          <w:p w14:paraId="26C97B19">
            <w:pPr>
              <w:jc w:val="left"/>
              <w:rPr>
                <w:color w:val="000000"/>
                <w:sz w:val="21"/>
                <w:szCs w:val="21"/>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社区营养管理实施目标,身体活动强度与健康效益,吸烟、酗酒对健康的危害</w:t>
            </w:r>
            <w:r>
              <w:rPr>
                <w:rFonts w:hint="eastAsia" w:ascii="宋体" w:hAnsi="宋体" w:eastAsia="宋体"/>
                <w:sz w:val="20"/>
                <w:szCs w:val="20"/>
              </w:rPr>
              <w:t>。</w:t>
            </w:r>
          </w:p>
        </w:tc>
        <w:tc>
          <w:tcPr>
            <w:tcW w:w="2410" w:type="dxa"/>
            <w:vAlign w:val="top"/>
          </w:tcPr>
          <w:p w14:paraId="1B46761C">
            <w:pPr>
              <w:jc w:val="left"/>
              <w:rPr>
                <w:rFonts w:ascii="宋体" w:hAnsi="宋体" w:eastAsia="宋体"/>
                <w:sz w:val="20"/>
                <w:szCs w:val="20"/>
              </w:rPr>
            </w:pPr>
            <w:r>
              <w:rPr>
                <w:rFonts w:ascii="宋体" w:hAnsi="宋体" w:eastAsia="宋体"/>
                <w:sz w:val="20"/>
                <w:szCs w:val="20"/>
              </w:rPr>
              <w:t>1.能开展社区营养调查,对社区居民进行营养教育。</w:t>
            </w:r>
          </w:p>
          <w:p w14:paraId="43D7BBEB">
            <w:pPr>
              <w:jc w:val="left"/>
              <w:rPr>
                <w:rFonts w:ascii="宋体" w:hAnsi="宋体" w:eastAsia="宋体"/>
                <w:sz w:val="20"/>
                <w:szCs w:val="20"/>
              </w:rPr>
            </w:pPr>
            <w:r>
              <w:rPr>
                <w:rFonts w:ascii="宋体" w:hAnsi="宋体" w:eastAsia="宋体"/>
                <w:sz w:val="20"/>
                <w:szCs w:val="20"/>
              </w:rPr>
              <w:t>2.能正确实施身体活动水平的测量,并对个体身体活动进行指导。</w:t>
            </w:r>
          </w:p>
          <w:p w14:paraId="653306F7">
            <w:pPr>
              <w:jc w:val="left"/>
              <w:rPr>
                <w:color w:val="000000"/>
                <w:sz w:val="21"/>
                <w:szCs w:val="21"/>
              </w:rPr>
            </w:pPr>
            <w:r>
              <w:rPr>
                <w:rFonts w:ascii="宋体" w:hAnsi="宋体" w:eastAsia="宋体"/>
                <w:sz w:val="20"/>
                <w:szCs w:val="20"/>
              </w:rPr>
              <w:t>3.能应用心理、行为干预方法,对烟草、酒精依赖者进行干预。</w:t>
            </w:r>
          </w:p>
        </w:tc>
        <w:tc>
          <w:tcPr>
            <w:tcW w:w="1275" w:type="dxa"/>
            <w:vAlign w:val="top"/>
          </w:tcPr>
          <w:p w14:paraId="2C9EA4E7">
            <w:pPr>
              <w:jc w:val="left"/>
              <w:rPr>
                <w:color w:val="000000"/>
                <w:sz w:val="21"/>
                <w:szCs w:val="21"/>
              </w:rPr>
            </w:pPr>
            <w:r>
              <w:rPr>
                <w:rFonts w:ascii="宋体" w:hAnsi="宋体" w:eastAsia="宋体"/>
                <w:sz w:val="20"/>
                <w:szCs w:val="20"/>
              </w:rPr>
              <w:t>认识到做好社区居民健康相关行为管理的重要性,致力于培养居民良好的行为生活方式</w:t>
            </w:r>
            <w:r>
              <w:rPr>
                <w:rFonts w:hint="eastAsia" w:ascii="宋体" w:hAnsi="宋体" w:eastAsia="宋体"/>
                <w:sz w:val="20"/>
                <w:szCs w:val="20"/>
              </w:rPr>
              <w:t>，</w:t>
            </w:r>
            <w:r>
              <w:rPr>
                <w:rFonts w:ascii="宋体" w:hAnsi="宋体" w:eastAsia="宋体"/>
                <w:sz w:val="20"/>
                <w:szCs w:val="20"/>
              </w:rPr>
              <w:t>提升居民的健康素养</w:t>
            </w:r>
            <w:r>
              <w:rPr>
                <w:rFonts w:hint="eastAsia" w:ascii="宋体" w:hAnsi="宋体" w:eastAsia="宋体"/>
                <w:sz w:val="20"/>
                <w:szCs w:val="20"/>
              </w:rPr>
              <w:t>。</w:t>
            </w:r>
          </w:p>
        </w:tc>
        <w:tc>
          <w:tcPr>
            <w:tcW w:w="1567" w:type="dxa"/>
            <w:vAlign w:val="top"/>
          </w:tcPr>
          <w:p w14:paraId="79CAB5B1">
            <w:pPr>
              <w:jc w:val="left"/>
              <w:rPr>
                <w:rFonts w:ascii="宋体" w:hAnsi="宋体" w:eastAsia="宋体"/>
                <w:sz w:val="20"/>
                <w:szCs w:val="20"/>
              </w:rPr>
            </w:pPr>
            <w:r>
              <w:rPr>
                <w:rFonts w:ascii="宋体" w:hAnsi="宋体" w:eastAsia="宋体"/>
                <w:sz w:val="20"/>
                <w:szCs w:val="20"/>
              </w:rPr>
              <w:t>1.健康相关行为概念、类型及影响因素,健康相关行为干预策略</w:t>
            </w:r>
            <w:r>
              <w:rPr>
                <w:rFonts w:hint="eastAsia" w:ascii="宋体" w:hAnsi="宋体" w:eastAsia="宋体"/>
                <w:sz w:val="20"/>
                <w:szCs w:val="20"/>
              </w:rPr>
              <w:t>。</w:t>
            </w:r>
          </w:p>
          <w:p w14:paraId="16382A56">
            <w:pPr>
              <w:jc w:val="left"/>
              <w:rPr>
                <w:rFonts w:hint="eastAsia" w:ascii="宋体" w:hAnsi="宋体" w:eastAsia="宋体"/>
                <w:sz w:val="20"/>
                <w:szCs w:val="20"/>
              </w:rPr>
            </w:pPr>
            <w:r>
              <w:rPr>
                <w:rFonts w:ascii="宋体" w:hAnsi="宋体" w:eastAsia="宋体"/>
                <w:sz w:val="20"/>
                <w:szCs w:val="20"/>
              </w:rPr>
              <w:t>2.身体活动分类与身体活动强度</w:t>
            </w:r>
            <w:r>
              <w:rPr>
                <w:rFonts w:hint="eastAsia" w:ascii="宋体" w:hAnsi="宋体" w:eastAsia="宋体"/>
                <w:sz w:val="20"/>
                <w:szCs w:val="20"/>
              </w:rPr>
              <w:t>。</w:t>
            </w:r>
          </w:p>
          <w:p w14:paraId="72FD3D28">
            <w:pPr>
              <w:jc w:val="left"/>
              <w:rPr>
                <w:color w:val="000000"/>
                <w:sz w:val="21"/>
                <w:szCs w:val="21"/>
              </w:rPr>
            </w:pPr>
          </w:p>
        </w:tc>
      </w:tr>
      <w:tr w14:paraId="5274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07BE76D6">
            <w:pPr>
              <w:rPr>
                <w:color w:val="000000"/>
                <w:sz w:val="21"/>
                <w:szCs w:val="21"/>
              </w:rPr>
            </w:pPr>
            <w:r>
              <w:rPr>
                <w:rFonts w:hint="eastAsia"/>
                <w:color w:val="000000"/>
                <w:sz w:val="21"/>
                <w:szCs w:val="21"/>
              </w:rPr>
              <w:t>5</w:t>
            </w:r>
          </w:p>
        </w:tc>
        <w:tc>
          <w:tcPr>
            <w:tcW w:w="696" w:type="dxa"/>
            <w:vAlign w:val="center"/>
          </w:tcPr>
          <w:p w14:paraId="2893A8BD">
            <w:pPr>
              <w:jc w:val="left"/>
              <w:rPr>
                <w:color w:val="000000"/>
                <w:sz w:val="21"/>
                <w:szCs w:val="21"/>
              </w:rPr>
            </w:pPr>
            <w:r>
              <w:rPr>
                <w:rFonts w:hint="eastAsia" w:ascii="宋体" w:hAnsi="宋体" w:eastAsia="宋体"/>
                <w:sz w:val="20"/>
                <w:szCs w:val="20"/>
              </w:rPr>
              <w:t>社区健康教育与健康促进</w:t>
            </w:r>
          </w:p>
        </w:tc>
        <w:tc>
          <w:tcPr>
            <w:tcW w:w="2128" w:type="dxa"/>
            <w:vAlign w:val="top"/>
          </w:tcPr>
          <w:p w14:paraId="33A99C61">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社区健康教育、社区健康促进的概念,了解不同人群的健康教育特点。</w:t>
            </w:r>
          </w:p>
          <w:p w14:paraId="48CFCC07">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理解</w:t>
            </w:r>
            <w:r>
              <w:rPr>
                <w:rFonts w:ascii="宋体" w:hAnsi="宋体" w:eastAsia="宋体"/>
                <w:sz w:val="20"/>
                <w:szCs w:val="20"/>
              </w:rPr>
              <w:t>不同社区健康教育及健康促进相关理论要点</w:t>
            </w:r>
            <w:r>
              <w:rPr>
                <w:rFonts w:hint="eastAsia" w:ascii="宋体" w:hAnsi="宋体" w:eastAsia="宋体"/>
                <w:sz w:val="20"/>
                <w:szCs w:val="20"/>
              </w:rPr>
              <w:t>。</w:t>
            </w:r>
          </w:p>
          <w:p w14:paraId="660B0491">
            <w:pPr>
              <w:jc w:val="left"/>
              <w:rPr>
                <w:color w:val="000000"/>
                <w:sz w:val="21"/>
                <w:szCs w:val="21"/>
              </w:rPr>
            </w:pPr>
            <w:r>
              <w:rPr>
                <w:rFonts w:ascii="宋体" w:hAnsi="宋体" w:eastAsia="宋体"/>
                <w:sz w:val="20"/>
                <w:szCs w:val="20"/>
              </w:rPr>
              <w:t>3.</w:t>
            </w:r>
            <w:r>
              <w:rPr>
                <w:rFonts w:hint="eastAsia" w:ascii="宋体" w:hAnsi="宋体" w:eastAsia="宋体"/>
                <w:sz w:val="20"/>
                <w:szCs w:val="20"/>
              </w:rPr>
              <w:t>知道</w:t>
            </w:r>
            <w:r>
              <w:rPr>
                <w:rFonts w:ascii="宋体" w:hAnsi="宋体" w:eastAsia="宋体"/>
                <w:sz w:val="20"/>
                <w:szCs w:val="20"/>
              </w:rPr>
              <w:t>社区健康教育的形式,掌握社区健康教育的设计与实施步骤</w:t>
            </w:r>
            <w:r>
              <w:rPr>
                <w:rFonts w:hint="eastAsia" w:ascii="宋体" w:hAnsi="宋体" w:eastAsia="宋体"/>
                <w:sz w:val="20"/>
                <w:szCs w:val="20"/>
              </w:rPr>
              <w:t>。</w:t>
            </w:r>
          </w:p>
        </w:tc>
        <w:tc>
          <w:tcPr>
            <w:tcW w:w="2410" w:type="dxa"/>
            <w:vAlign w:val="top"/>
          </w:tcPr>
          <w:p w14:paraId="448F51A2">
            <w:pPr>
              <w:jc w:val="left"/>
              <w:rPr>
                <w:rFonts w:ascii="宋体" w:hAnsi="宋体" w:eastAsia="宋体"/>
                <w:sz w:val="20"/>
                <w:szCs w:val="20"/>
              </w:rPr>
            </w:pPr>
            <w:r>
              <w:rPr>
                <w:rFonts w:ascii="宋体" w:hAnsi="宋体" w:eastAsia="宋体"/>
                <w:sz w:val="20"/>
                <w:szCs w:val="20"/>
              </w:rPr>
              <w:t>结合社区不同人群特点,能应用社区健康教育相关理论,组织开展社区健康教育活动</w:t>
            </w:r>
          </w:p>
          <w:p w14:paraId="3FD3F82D">
            <w:pPr>
              <w:jc w:val="left"/>
              <w:rPr>
                <w:color w:val="000000"/>
                <w:sz w:val="21"/>
                <w:szCs w:val="21"/>
              </w:rPr>
            </w:pPr>
          </w:p>
        </w:tc>
        <w:tc>
          <w:tcPr>
            <w:tcW w:w="1275" w:type="dxa"/>
            <w:vAlign w:val="top"/>
          </w:tcPr>
          <w:p w14:paraId="34E32346">
            <w:pPr>
              <w:jc w:val="left"/>
              <w:rPr>
                <w:color w:val="000000"/>
                <w:sz w:val="21"/>
                <w:szCs w:val="21"/>
              </w:rPr>
            </w:pPr>
            <w:r>
              <w:rPr>
                <w:rFonts w:ascii="宋体" w:hAnsi="宋体" w:eastAsia="宋体"/>
                <w:sz w:val="20"/>
                <w:szCs w:val="20"/>
              </w:rPr>
              <w:t>具有社区居民健康“守门人”的责任感,做社区健康传播的践行者</w:t>
            </w:r>
          </w:p>
        </w:tc>
        <w:tc>
          <w:tcPr>
            <w:tcW w:w="1567" w:type="dxa"/>
            <w:vAlign w:val="top"/>
          </w:tcPr>
          <w:p w14:paraId="3424D49E">
            <w:pPr>
              <w:jc w:val="left"/>
              <w:rPr>
                <w:color w:val="000000"/>
                <w:sz w:val="21"/>
                <w:szCs w:val="21"/>
              </w:rPr>
            </w:pPr>
            <w:r>
              <w:rPr>
                <w:rFonts w:hint="eastAsia" w:ascii="宋体" w:hAnsi="宋体" w:eastAsia="宋体"/>
                <w:sz w:val="20"/>
                <w:szCs w:val="20"/>
              </w:rPr>
              <w:t>1</w:t>
            </w:r>
            <w:r>
              <w:rPr>
                <w:rFonts w:ascii="宋体" w:hAnsi="宋体" w:eastAsia="宋体"/>
                <w:sz w:val="20"/>
                <w:szCs w:val="20"/>
              </w:rPr>
              <w:t>.社区健康教育、社区健康促进的概念</w:t>
            </w:r>
            <w:r>
              <w:rPr>
                <w:rFonts w:hint="eastAsia" w:ascii="宋体" w:hAnsi="宋体" w:eastAsia="宋体"/>
                <w:sz w:val="20"/>
                <w:szCs w:val="20"/>
              </w:rPr>
              <w:t>。2</w:t>
            </w:r>
            <w:r>
              <w:rPr>
                <w:rFonts w:ascii="宋体" w:hAnsi="宋体" w:eastAsia="宋体"/>
                <w:sz w:val="20"/>
                <w:szCs w:val="20"/>
              </w:rPr>
              <w:t>.不同人群的健康教育特点。</w:t>
            </w:r>
          </w:p>
        </w:tc>
      </w:tr>
      <w:tr w14:paraId="56C1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47DFE75C">
            <w:pPr>
              <w:rPr>
                <w:color w:val="000000"/>
                <w:sz w:val="21"/>
                <w:szCs w:val="21"/>
              </w:rPr>
            </w:pPr>
            <w:r>
              <w:rPr>
                <w:rFonts w:hint="eastAsia"/>
                <w:color w:val="000000"/>
                <w:sz w:val="21"/>
                <w:szCs w:val="21"/>
              </w:rPr>
              <w:t>6</w:t>
            </w:r>
          </w:p>
        </w:tc>
        <w:tc>
          <w:tcPr>
            <w:tcW w:w="696" w:type="dxa"/>
            <w:vAlign w:val="center"/>
          </w:tcPr>
          <w:p w14:paraId="7B8A175D">
            <w:pPr>
              <w:jc w:val="left"/>
              <w:rPr>
                <w:color w:val="000000"/>
                <w:sz w:val="21"/>
                <w:szCs w:val="21"/>
              </w:rPr>
            </w:pPr>
            <w:r>
              <w:rPr>
                <w:rFonts w:hint="eastAsia" w:ascii="宋体" w:hAnsi="宋体" w:eastAsia="宋体"/>
                <w:sz w:val="20"/>
                <w:szCs w:val="20"/>
              </w:rPr>
              <w:t>社区家庭健康管理</w:t>
            </w:r>
          </w:p>
        </w:tc>
        <w:tc>
          <w:tcPr>
            <w:tcW w:w="2128" w:type="dxa"/>
            <w:vAlign w:val="top"/>
          </w:tcPr>
          <w:p w14:paraId="40EEB8D5">
            <w:pPr>
              <w:jc w:val="left"/>
              <w:rPr>
                <w:rFonts w:ascii="宋体" w:hAnsi="宋体" w:eastAsia="宋体"/>
                <w:sz w:val="20"/>
                <w:szCs w:val="20"/>
              </w:rPr>
            </w:pPr>
            <w:r>
              <w:rPr>
                <w:rFonts w:ascii="宋体" w:hAnsi="宋体" w:eastAsia="宋体"/>
                <w:sz w:val="20"/>
                <w:szCs w:val="20"/>
              </w:rPr>
              <w:t>1.掌握家庭结构、家庭功能、家庭生活周期和家庭资源相关知识;家庭、健康家庭、家庭访视</w:t>
            </w:r>
            <w:r>
              <w:rPr>
                <w:rFonts w:hint="eastAsia" w:ascii="宋体" w:hAnsi="宋体" w:eastAsia="宋体"/>
                <w:sz w:val="20"/>
                <w:szCs w:val="20"/>
              </w:rPr>
              <w:t>、</w:t>
            </w:r>
            <w:r>
              <w:rPr>
                <w:rFonts w:ascii="宋体" w:hAnsi="宋体" w:eastAsia="宋体"/>
                <w:sz w:val="20"/>
                <w:szCs w:val="20"/>
              </w:rPr>
              <w:t>居家护理的概念以及健康家庭应具备的条件</w:t>
            </w:r>
            <w:r>
              <w:rPr>
                <w:rFonts w:hint="eastAsia" w:ascii="宋体" w:hAnsi="宋体" w:eastAsia="宋体"/>
                <w:sz w:val="20"/>
                <w:szCs w:val="20"/>
              </w:rPr>
              <w:t>。</w:t>
            </w:r>
          </w:p>
          <w:p w14:paraId="6AC7A872">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家庭健康照护理论、健康家庭的特点、居家护理的形式、家庭访视的类型与程序</w:t>
            </w:r>
            <w:r>
              <w:rPr>
                <w:rFonts w:hint="eastAsia" w:ascii="宋体" w:hAnsi="宋体" w:eastAsia="宋体"/>
                <w:sz w:val="20"/>
                <w:szCs w:val="20"/>
              </w:rPr>
              <w:t>。</w:t>
            </w:r>
          </w:p>
          <w:p w14:paraId="7B29F578">
            <w:pPr>
              <w:jc w:val="left"/>
              <w:rPr>
                <w:color w:val="000000"/>
                <w:sz w:val="21"/>
                <w:szCs w:val="21"/>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家庭对健康的影响。</w:t>
            </w:r>
          </w:p>
        </w:tc>
        <w:tc>
          <w:tcPr>
            <w:tcW w:w="2410" w:type="dxa"/>
            <w:vAlign w:val="top"/>
          </w:tcPr>
          <w:p w14:paraId="59CAF6E1">
            <w:pPr>
              <w:jc w:val="left"/>
              <w:rPr>
                <w:rFonts w:ascii="宋体" w:hAnsi="宋体" w:eastAsia="宋体"/>
                <w:sz w:val="20"/>
                <w:szCs w:val="20"/>
              </w:rPr>
            </w:pPr>
            <w:r>
              <w:rPr>
                <w:rFonts w:ascii="宋体" w:hAnsi="宋体" w:eastAsia="宋体"/>
                <w:sz w:val="20"/>
                <w:szCs w:val="20"/>
              </w:rPr>
              <w:t>1.能对社区家庭进行护理评估</w:t>
            </w:r>
            <w:r>
              <w:rPr>
                <w:rFonts w:hint="eastAsia" w:ascii="宋体" w:hAnsi="宋体" w:eastAsia="宋体"/>
                <w:sz w:val="20"/>
                <w:szCs w:val="20"/>
              </w:rPr>
              <w:t>。</w:t>
            </w:r>
          </w:p>
          <w:p w14:paraId="7303EB29">
            <w:pPr>
              <w:jc w:val="left"/>
              <w:rPr>
                <w:rFonts w:hint="eastAsia" w:ascii="宋体" w:hAnsi="宋体" w:eastAsia="宋体"/>
                <w:sz w:val="20"/>
                <w:szCs w:val="20"/>
              </w:rPr>
            </w:pPr>
            <w:r>
              <w:rPr>
                <w:rFonts w:ascii="宋体" w:hAnsi="宋体" w:eastAsia="宋体"/>
                <w:sz w:val="20"/>
                <w:szCs w:val="20"/>
              </w:rPr>
              <w:t>2.能对家庭照顾者进行护理评估。</w:t>
            </w:r>
          </w:p>
          <w:p w14:paraId="202AE58D">
            <w:pPr>
              <w:jc w:val="left"/>
              <w:rPr>
                <w:color w:val="000000"/>
                <w:sz w:val="21"/>
                <w:szCs w:val="21"/>
              </w:rPr>
            </w:pPr>
            <w:r>
              <w:rPr>
                <w:rFonts w:ascii="宋体" w:hAnsi="宋体" w:eastAsia="宋体"/>
                <w:sz w:val="20"/>
                <w:szCs w:val="20"/>
              </w:rPr>
              <w:t>3.能对社区服务对象进行家庭访视</w:t>
            </w:r>
            <w:r>
              <w:rPr>
                <w:rFonts w:hint="eastAsia" w:ascii="宋体" w:hAnsi="宋体" w:eastAsia="宋体"/>
                <w:sz w:val="20"/>
                <w:szCs w:val="20"/>
              </w:rPr>
              <w:t>。</w:t>
            </w:r>
          </w:p>
        </w:tc>
        <w:tc>
          <w:tcPr>
            <w:tcW w:w="1275" w:type="dxa"/>
            <w:vAlign w:val="top"/>
          </w:tcPr>
          <w:p w14:paraId="50344706">
            <w:pPr>
              <w:jc w:val="left"/>
              <w:rPr>
                <w:color w:val="000000"/>
                <w:sz w:val="21"/>
                <w:szCs w:val="21"/>
              </w:rPr>
            </w:pPr>
            <w:r>
              <w:rPr>
                <w:rFonts w:ascii="宋体" w:hAnsi="宋体" w:eastAsia="宋体"/>
                <w:sz w:val="20"/>
                <w:szCs w:val="20"/>
              </w:rPr>
              <w:t>具有保护服务家庭隐私、尊重服务家庭意愿的职业精神</w:t>
            </w:r>
          </w:p>
        </w:tc>
        <w:tc>
          <w:tcPr>
            <w:tcW w:w="1567" w:type="dxa"/>
            <w:vAlign w:val="top"/>
          </w:tcPr>
          <w:p w14:paraId="16A88CDB">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.家庭结构、家庭功能、家庭生活周期和家庭资源相关知识</w:t>
            </w:r>
            <w:r>
              <w:rPr>
                <w:rFonts w:hint="eastAsia" w:ascii="宋体" w:hAnsi="宋体" w:eastAsia="宋体"/>
                <w:sz w:val="20"/>
                <w:szCs w:val="20"/>
              </w:rPr>
              <w:t>。</w:t>
            </w:r>
          </w:p>
          <w:p w14:paraId="2521C2A6">
            <w:pPr>
              <w:jc w:val="left"/>
              <w:rPr>
                <w:color w:val="000000"/>
                <w:sz w:val="21"/>
                <w:szCs w:val="21"/>
              </w:rPr>
            </w:pPr>
            <w:r>
              <w:rPr>
                <w:rFonts w:ascii="宋体" w:hAnsi="宋体" w:eastAsia="宋体"/>
                <w:sz w:val="20"/>
                <w:szCs w:val="20"/>
              </w:rPr>
              <w:t>2.家庭健康照护理论</w:t>
            </w:r>
            <w:r>
              <w:rPr>
                <w:rFonts w:hint="eastAsia" w:ascii="宋体" w:hAnsi="宋体" w:eastAsia="宋体"/>
                <w:sz w:val="20"/>
                <w:szCs w:val="20"/>
              </w:rPr>
              <w:t>。</w:t>
            </w:r>
          </w:p>
        </w:tc>
      </w:tr>
      <w:tr w14:paraId="418C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34D40F91">
            <w:pPr>
              <w:rPr>
                <w:color w:val="000000"/>
                <w:sz w:val="21"/>
                <w:szCs w:val="21"/>
              </w:rPr>
            </w:pPr>
            <w:r>
              <w:rPr>
                <w:rFonts w:hint="eastAsia"/>
                <w:color w:val="000000"/>
                <w:sz w:val="21"/>
                <w:szCs w:val="21"/>
              </w:rPr>
              <w:t>7</w:t>
            </w:r>
          </w:p>
        </w:tc>
        <w:tc>
          <w:tcPr>
            <w:tcW w:w="696" w:type="dxa"/>
            <w:vAlign w:val="center"/>
          </w:tcPr>
          <w:p w14:paraId="4BF6D216">
            <w:pPr>
              <w:jc w:val="left"/>
              <w:rPr>
                <w:color w:val="000000"/>
                <w:sz w:val="21"/>
                <w:szCs w:val="21"/>
              </w:rPr>
            </w:pPr>
            <w:r>
              <w:rPr>
                <w:rFonts w:hint="eastAsia" w:ascii="宋体" w:hAnsi="宋体" w:eastAsia="宋体"/>
                <w:sz w:val="20"/>
                <w:szCs w:val="20"/>
              </w:rPr>
              <w:t>社区儿童和青少年保健</w:t>
            </w:r>
          </w:p>
        </w:tc>
        <w:tc>
          <w:tcPr>
            <w:tcW w:w="2128" w:type="dxa"/>
            <w:vAlign w:val="top"/>
          </w:tcPr>
          <w:p w14:paraId="4884D3EF">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预防接种及新生儿期营养与喂养;各年龄期儿童疾病预防及意外伤害紧急处理与预防。</w:t>
            </w:r>
          </w:p>
          <w:p w14:paraId="2464FDDB">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社区儿童青少年保健概念及各年龄期保健指导内容。</w:t>
            </w:r>
          </w:p>
          <w:p w14:paraId="0A209292">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社区儿童青少年健康管理内容及托幼机构卫生保健管理工作内容</w:t>
            </w:r>
            <w:r>
              <w:rPr>
                <w:rFonts w:hint="eastAsia" w:ascii="宋体" w:hAnsi="宋体" w:eastAsia="宋体"/>
                <w:sz w:val="20"/>
                <w:szCs w:val="20"/>
              </w:rPr>
              <w:t>。</w:t>
            </w:r>
          </w:p>
          <w:p w14:paraId="7240BAF7">
            <w:pPr>
              <w:jc w:val="left"/>
              <w:rPr>
                <w:color w:val="000000"/>
                <w:sz w:val="21"/>
                <w:szCs w:val="21"/>
              </w:rPr>
            </w:pPr>
          </w:p>
        </w:tc>
        <w:tc>
          <w:tcPr>
            <w:tcW w:w="2410" w:type="dxa"/>
            <w:vAlign w:val="top"/>
          </w:tcPr>
          <w:p w14:paraId="1F8F546B">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.运用护理程序及相关保健知识与技能,进行新生儿家庭访视。</w:t>
            </w:r>
          </w:p>
          <w:p w14:paraId="4C5030B6">
            <w:pPr>
              <w:jc w:val="left"/>
              <w:rPr>
                <w:rFonts w:ascii="宋体" w:hAnsi="宋体" w:eastAsia="宋体"/>
                <w:sz w:val="20"/>
                <w:szCs w:val="20"/>
              </w:rPr>
            </w:pPr>
            <w:r>
              <w:rPr>
                <w:rFonts w:ascii="宋体" w:hAnsi="宋体" w:eastAsia="宋体"/>
                <w:sz w:val="20"/>
                <w:szCs w:val="20"/>
              </w:rPr>
              <w:t>2.运用相关保健知识与技能,对儿童青少年及其家长进行保健指导。</w:t>
            </w:r>
          </w:p>
          <w:p w14:paraId="1AF98FA9">
            <w:pPr>
              <w:jc w:val="left"/>
              <w:rPr>
                <w:color w:val="000000"/>
                <w:sz w:val="21"/>
                <w:szCs w:val="21"/>
              </w:rPr>
            </w:pPr>
            <w:r>
              <w:rPr>
                <w:rFonts w:ascii="宋体" w:hAnsi="宋体" w:eastAsia="宋体"/>
                <w:sz w:val="20"/>
                <w:szCs w:val="20"/>
              </w:rPr>
              <w:t>3.运用预防接种知识与技能,进行规范的预防接种。</w:t>
            </w:r>
          </w:p>
        </w:tc>
        <w:tc>
          <w:tcPr>
            <w:tcW w:w="1275" w:type="dxa"/>
            <w:vAlign w:val="top"/>
          </w:tcPr>
          <w:p w14:paraId="20380DF0">
            <w:pPr>
              <w:jc w:val="left"/>
              <w:rPr>
                <w:rFonts w:ascii="宋体" w:hAnsi="宋体" w:eastAsia="宋体"/>
                <w:sz w:val="20"/>
                <w:szCs w:val="20"/>
              </w:rPr>
            </w:pPr>
            <w:r>
              <w:rPr>
                <w:rFonts w:ascii="宋体" w:hAnsi="宋体" w:eastAsia="宋体"/>
                <w:sz w:val="20"/>
                <w:szCs w:val="20"/>
              </w:rPr>
              <w:t>1.具有关爱儿童青少年,并同理其家长的职业素养。</w:t>
            </w:r>
          </w:p>
          <w:p w14:paraId="7747D06A">
            <w:pPr>
              <w:jc w:val="left"/>
              <w:rPr>
                <w:color w:val="000000"/>
                <w:sz w:val="21"/>
                <w:szCs w:val="21"/>
              </w:rPr>
            </w:pPr>
            <w:r>
              <w:rPr>
                <w:rFonts w:ascii="宋体" w:hAnsi="宋体" w:eastAsia="宋体"/>
                <w:sz w:val="20"/>
                <w:szCs w:val="20"/>
              </w:rPr>
              <w:t>2.具有以家庭为中心护理理念为儿童青少年提供健康保健服务的素质</w:t>
            </w:r>
          </w:p>
        </w:tc>
        <w:tc>
          <w:tcPr>
            <w:tcW w:w="1567" w:type="dxa"/>
            <w:vAlign w:val="top"/>
          </w:tcPr>
          <w:p w14:paraId="49255F48">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.新生儿期营养与喂养</w:t>
            </w:r>
            <w:r>
              <w:rPr>
                <w:rFonts w:hint="eastAsia" w:ascii="宋体" w:hAnsi="宋体" w:eastAsia="宋体"/>
                <w:sz w:val="20"/>
                <w:szCs w:val="20"/>
              </w:rPr>
              <w:t>。</w:t>
            </w:r>
          </w:p>
          <w:p w14:paraId="035DB01B">
            <w:pPr>
              <w:jc w:val="left"/>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.各年龄期儿童疾病预防及意外伤害紧急处理与预防。</w:t>
            </w:r>
          </w:p>
          <w:p w14:paraId="69D45563">
            <w:pPr>
              <w:jc w:val="left"/>
              <w:rPr>
                <w:color w:val="000000"/>
                <w:sz w:val="21"/>
                <w:szCs w:val="21"/>
              </w:rPr>
            </w:pPr>
          </w:p>
        </w:tc>
      </w:tr>
      <w:tr w14:paraId="4B1E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6E3DEB22">
            <w:pPr>
              <w:rPr>
                <w:color w:val="000000"/>
                <w:sz w:val="21"/>
                <w:szCs w:val="21"/>
              </w:rPr>
            </w:pPr>
            <w:r>
              <w:rPr>
                <w:rFonts w:hint="eastAsia"/>
                <w:color w:val="000000"/>
                <w:sz w:val="21"/>
                <w:szCs w:val="21"/>
              </w:rPr>
              <w:t>8</w:t>
            </w:r>
          </w:p>
        </w:tc>
        <w:tc>
          <w:tcPr>
            <w:tcW w:w="696" w:type="dxa"/>
            <w:vAlign w:val="center"/>
          </w:tcPr>
          <w:p w14:paraId="71D630BF">
            <w:pPr>
              <w:jc w:val="left"/>
              <w:rPr>
                <w:color w:val="000000"/>
                <w:sz w:val="21"/>
                <w:szCs w:val="21"/>
              </w:rPr>
            </w:pPr>
            <w:r>
              <w:rPr>
                <w:rFonts w:hint="eastAsia" w:ascii="宋体" w:hAnsi="宋体" w:eastAsia="宋体"/>
                <w:sz w:val="20"/>
                <w:szCs w:val="20"/>
              </w:rPr>
              <w:t>社区妇女保健</w:t>
            </w:r>
          </w:p>
        </w:tc>
        <w:tc>
          <w:tcPr>
            <w:tcW w:w="2128" w:type="dxa"/>
            <w:vAlign w:val="top"/>
          </w:tcPr>
          <w:p w14:paraId="7343CDE0">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围婚期、围生期和围绝经期妇女的保健指导;痛经</w:t>
            </w:r>
            <w:r>
              <w:rPr>
                <w:rFonts w:hint="eastAsia" w:ascii="宋体" w:hAnsi="宋体" w:eastAsia="宋体"/>
                <w:sz w:val="20"/>
                <w:szCs w:val="20"/>
              </w:rPr>
              <w:t>、</w:t>
            </w:r>
            <w:r>
              <w:rPr>
                <w:rFonts w:ascii="宋体" w:hAnsi="宋体" w:eastAsia="宋体"/>
                <w:sz w:val="20"/>
                <w:szCs w:val="20"/>
              </w:rPr>
              <w:t>少女妊娠、产后抑郁和尿失禁妇女的保健指导</w:t>
            </w:r>
          </w:p>
          <w:p w14:paraId="2464C574">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理解</w:t>
            </w:r>
            <w:r>
              <w:rPr>
                <w:rFonts w:ascii="宋体" w:hAnsi="宋体" w:eastAsia="宋体"/>
                <w:sz w:val="20"/>
                <w:szCs w:val="20"/>
              </w:rPr>
              <w:t>社区妇女保健的统计指标</w:t>
            </w:r>
          </w:p>
          <w:p w14:paraId="45E39C2E">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社区妇女保健的范围、方法和组织机构</w:t>
            </w:r>
          </w:p>
          <w:p w14:paraId="6C80BC5F">
            <w:pPr>
              <w:jc w:val="left"/>
              <w:rPr>
                <w:color w:val="000000"/>
                <w:sz w:val="21"/>
                <w:szCs w:val="21"/>
              </w:rPr>
            </w:pPr>
          </w:p>
        </w:tc>
        <w:tc>
          <w:tcPr>
            <w:tcW w:w="2410" w:type="dxa"/>
            <w:vAlign w:val="top"/>
          </w:tcPr>
          <w:p w14:paraId="3BD33116">
            <w:pPr>
              <w:jc w:val="left"/>
              <w:rPr>
                <w:rFonts w:ascii="宋体" w:hAnsi="宋体" w:eastAsia="宋体"/>
                <w:sz w:val="20"/>
                <w:szCs w:val="20"/>
              </w:rPr>
            </w:pPr>
            <w:r>
              <w:rPr>
                <w:rFonts w:ascii="宋体" w:hAnsi="宋体" w:eastAsia="宋体"/>
                <w:sz w:val="20"/>
                <w:szCs w:val="20"/>
              </w:rPr>
              <w:t>1.能在教师指导下对各期社区妇女进行保健指导</w:t>
            </w:r>
          </w:p>
          <w:p w14:paraId="1E546EA0">
            <w:pPr>
              <w:jc w:val="left"/>
              <w:rPr>
                <w:rFonts w:ascii="宋体" w:hAnsi="宋体" w:eastAsia="宋体"/>
                <w:sz w:val="20"/>
                <w:szCs w:val="20"/>
              </w:rPr>
            </w:pPr>
            <w:r>
              <w:rPr>
                <w:rFonts w:ascii="宋体" w:hAnsi="宋体" w:eastAsia="宋体"/>
                <w:sz w:val="20"/>
                <w:szCs w:val="20"/>
              </w:rPr>
              <w:t>2.能在教师指导下对社区妇女常见的健康问题进行保健指导。</w:t>
            </w:r>
          </w:p>
          <w:p w14:paraId="2CBE2059">
            <w:pPr>
              <w:jc w:val="left"/>
              <w:rPr>
                <w:color w:val="000000"/>
                <w:sz w:val="21"/>
                <w:szCs w:val="21"/>
              </w:rPr>
            </w:pPr>
          </w:p>
        </w:tc>
        <w:tc>
          <w:tcPr>
            <w:tcW w:w="1275" w:type="dxa"/>
            <w:vAlign w:val="top"/>
          </w:tcPr>
          <w:p w14:paraId="3EF5BF4E">
            <w:pPr>
              <w:jc w:val="left"/>
              <w:rPr>
                <w:rFonts w:ascii="宋体" w:hAnsi="宋体" w:eastAsia="宋体"/>
                <w:sz w:val="20"/>
                <w:szCs w:val="20"/>
              </w:rPr>
            </w:pPr>
            <w:r>
              <w:rPr>
                <w:rFonts w:ascii="宋体" w:hAnsi="宋体" w:eastAsia="宋体"/>
                <w:sz w:val="20"/>
                <w:szCs w:val="20"/>
              </w:rPr>
              <w:t>1.具备开展社区妇女各期保健及常见健康问题的保健指导的素质。</w:t>
            </w:r>
          </w:p>
          <w:p w14:paraId="35457F12">
            <w:pPr>
              <w:jc w:val="left"/>
              <w:rPr>
                <w:color w:val="000000"/>
                <w:sz w:val="21"/>
                <w:szCs w:val="21"/>
              </w:rPr>
            </w:pPr>
            <w:r>
              <w:rPr>
                <w:rFonts w:ascii="宋体" w:hAnsi="宋体" w:eastAsia="宋体"/>
                <w:sz w:val="20"/>
                <w:szCs w:val="20"/>
              </w:rPr>
              <w:t>2.具备正确统计妇女保健各项指标的素质</w:t>
            </w:r>
            <w:r>
              <w:rPr>
                <w:rFonts w:hint="eastAsia" w:ascii="宋体" w:hAnsi="宋体" w:eastAsia="宋体"/>
                <w:sz w:val="20"/>
                <w:szCs w:val="20"/>
              </w:rPr>
              <w:t>。</w:t>
            </w:r>
          </w:p>
        </w:tc>
        <w:tc>
          <w:tcPr>
            <w:tcW w:w="1567" w:type="dxa"/>
            <w:vAlign w:val="top"/>
          </w:tcPr>
          <w:p w14:paraId="727DF36D">
            <w:pPr>
              <w:jc w:val="left"/>
              <w:rPr>
                <w:rFonts w:hint="eastAsia" w:ascii="宋体" w:hAnsi="宋体" w:eastAsia="宋体"/>
                <w:sz w:val="20"/>
                <w:szCs w:val="20"/>
              </w:rPr>
            </w:pPr>
            <w:r>
              <w:rPr>
                <w:rFonts w:ascii="宋体" w:hAnsi="宋体" w:eastAsia="宋体"/>
                <w:sz w:val="20"/>
                <w:szCs w:val="20"/>
              </w:rPr>
              <w:t>1.围婚期、围生期和围绝经期妇女的保健指导</w:t>
            </w:r>
            <w:r>
              <w:rPr>
                <w:rFonts w:hint="eastAsia" w:ascii="宋体" w:hAnsi="宋体" w:eastAsia="宋体"/>
                <w:sz w:val="20"/>
                <w:szCs w:val="20"/>
              </w:rPr>
              <w:t>。</w:t>
            </w:r>
          </w:p>
          <w:p w14:paraId="7409F42A">
            <w:pPr>
              <w:jc w:val="left"/>
              <w:rPr>
                <w:rFonts w:ascii="宋体" w:hAnsi="宋体" w:eastAsia="宋体"/>
                <w:sz w:val="20"/>
                <w:szCs w:val="20"/>
              </w:rPr>
            </w:pPr>
            <w:r>
              <w:rPr>
                <w:rFonts w:ascii="宋体" w:hAnsi="宋体" w:eastAsia="宋体"/>
                <w:sz w:val="20"/>
                <w:szCs w:val="20"/>
              </w:rPr>
              <w:t>2.社区妇女保健的统计指标</w:t>
            </w:r>
            <w:r>
              <w:rPr>
                <w:rFonts w:hint="eastAsia" w:ascii="宋体" w:hAnsi="宋体" w:eastAsia="宋体"/>
                <w:sz w:val="20"/>
                <w:szCs w:val="20"/>
              </w:rPr>
              <w:t>。</w:t>
            </w:r>
          </w:p>
          <w:p w14:paraId="028DB969">
            <w:pPr>
              <w:jc w:val="left"/>
              <w:rPr>
                <w:color w:val="000000"/>
                <w:sz w:val="21"/>
                <w:szCs w:val="21"/>
              </w:rPr>
            </w:pPr>
          </w:p>
        </w:tc>
      </w:tr>
      <w:tr w14:paraId="4B7B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5A00C742">
            <w:pPr>
              <w:rPr>
                <w:color w:val="000000"/>
                <w:sz w:val="21"/>
                <w:szCs w:val="21"/>
              </w:rPr>
            </w:pPr>
            <w:r>
              <w:rPr>
                <w:rFonts w:hint="eastAsia"/>
                <w:color w:val="000000"/>
                <w:sz w:val="21"/>
                <w:szCs w:val="21"/>
              </w:rPr>
              <w:t>9</w:t>
            </w:r>
          </w:p>
        </w:tc>
        <w:tc>
          <w:tcPr>
            <w:tcW w:w="696" w:type="dxa"/>
            <w:vAlign w:val="center"/>
          </w:tcPr>
          <w:p w14:paraId="1C90B90D">
            <w:pPr>
              <w:jc w:val="left"/>
              <w:rPr>
                <w:color w:val="000000"/>
                <w:sz w:val="21"/>
                <w:szCs w:val="21"/>
              </w:rPr>
            </w:pPr>
            <w:r>
              <w:rPr>
                <w:rFonts w:hint="eastAsia" w:ascii="宋体" w:hAnsi="宋体" w:eastAsia="宋体"/>
                <w:sz w:val="20"/>
                <w:szCs w:val="20"/>
              </w:rPr>
              <w:t>社区老年人群护理</w:t>
            </w:r>
          </w:p>
        </w:tc>
        <w:tc>
          <w:tcPr>
            <w:tcW w:w="2128" w:type="dxa"/>
            <w:vAlign w:val="top"/>
          </w:tcPr>
          <w:p w14:paraId="109D826F">
            <w:pPr>
              <w:jc w:val="left"/>
              <w:rPr>
                <w:rFonts w:hint="eastAsia"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老年人、人口老龄化、老龄化社会、老年人口系数、老年综合评估、跌倒、阿尔茨海默病、老年综合征概念</w:t>
            </w:r>
            <w:r>
              <w:rPr>
                <w:rFonts w:hint="eastAsia" w:ascii="宋体" w:hAnsi="宋体" w:eastAsia="宋体"/>
                <w:sz w:val="20"/>
                <w:szCs w:val="20"/>
              </w:rPr>
              <w:t>。</w:t>
            </w:r>
          </w:p>
          <w:p w14:paraId="639F5F7D">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社区老年人常见健康问题及护理措施。</w:t>
            </w:r>
          </w:p>
          <w:p w14:paraId="3DDE4952">
            <w:pPr>
              <w:jc w:val="left"/>
              <w:rPr>
                <w:rFonts w:hint="eastAsia"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社区养老模式和老年保健原则</w:t>
            </w:r>
            <w:r>
              <w:rPr>
                <w:rFonts w:hint="eastAsia" w:ascii="宋体" w:hAnsi="宋体" w:eastAsia="宋体"/>
                <w:sz w:val="20"/>
                <w:szCs w:val="20"/>
              </w:rPr>
              <w:t>。</w:t>
            </w:r>
          </w:p>
          <w:p w14:paraId="18DFAD64">
            <w:pPr>
              <w:jc w:val="left"/>
              <w:rPr>
                <w:rFonts w:hint="eastAsia" w:ascii="宋体" w:hAnsi="宋体" w:eastAsia="宋体"/>
                <w:sz w:val="20"/>
                <w:szCs w:val="20"/>
              </w:rPr>
            </w:pPr>
          </w:p>
        </w:tc>
        <w:tc>
          <w:tcPr>
            <w:tcW w:w="2410" w:type="dxa"/>
            <w:vAlign w:val="top"/>
          </w:tcPr>
          <w:p w14:paraId="68684A40">
            <w:pPr>
              <w:jc w:val="left"/>
              <w:rPr>
                <w:rFonts w:ascii="宋体" w:hAnsi="宋体" w:eastAsia="宋体"/>
                <w:sz w:val="20"/>
                <w:szCs w:val="20"/>
              </w:rPr>
            </w:pPr>
            <w:r>
              <w:rPr>
                <w:rFonts w:ascii="宋体" w:hAnsi="宋体" w:eastAsia="宋体"/>
                <w:sz w:val="20"/>
                <w:szCs w:val="20"/>
              </w:rPr>
              <w:t>1.能对社区老年人实施评估及健康指导。</w:t>
            </w:r>
          </w:p>
          <w:p w14:paraId="4B6B1C9B">
            <w:pPr>
              <w:jc w:val="left"/>
              <w:rPr>
                <w:color w:val="000000"/>
                <w:sz w:val="21"/>
                <w:szCs w:val="21"/>
              </w:rPr>
            </w:pPr>
            <w:r>
              <w:rPr>
                <w:rFonts w:ascii="宋体" w:hAnsi="宋体" w:eastAsia="宋体"/>
                <w:sz w:val="20"/>
                <w:szCs w:val="20"/>
              </w:rPr>
              <w:t>2.能为衰弱、跌倒、阿尔茨海默病、骨质疏松等健康问题的老年人制订社区护理</w:t>
            </w:r>
            <w:r>
              <w:rPr>
                <w:rFonts w:hint="eastAsia" w:ascii="宋体" w:hAnsi="宋体" w:eastAsia="宋体"/>
                <w:sz w:val="20"/>
                <w:szCs w:val="20"/>
              </w:rPr>
              <w:t>干</w:t>
            </w:r>
            <w:r>
              <w:rPr>
                <w:rFonts w:ascii="宋体" w:hAnsi="宋体" w:eastAsia="宋体"/>
                <w:sz w:val="20"/>
                <w:szCs w:val="20"/>
              </w:rPr>
              <w:t>预措施。</w:t>
            </w:r>
          </w:p>
        </w:tc>
        <w:tc>
          <w:tcPr>
            <w:tcW w:w="1275" w:type="dxa"/>
            <w:vAlign w:val="top"/>
          </w:tcPr>
          <w:p w14:paraId="1DF0F2F7">
            <w:pPr>
              <w:jc w:val="left"/>
              <w:rPr>
                <w:color w:val="000000"/>
                <w:sz w:val="21"/>
                <w:szCs w:val="21"/>
              </w:rPr>
            </w:pPr>
            <w:r>
              <w:rPr>
                <w:rFonts w:ascii="宋体" w:hAnsi="宋体" w:eastAsia="宋体"/>
                <w:sz w:val="20"/>
                <w:szCs w:val="20"/>
              </w:rPr>
              <w:t>具有尊重老年人、关心老年人、保护老年人隐私、善于有效沟通素养。</w:t>
            </w:r>
          </w:p>
        </w:tc>
        <w:tc>
          <w:tcPr>
            <w:tcW w:w="1567" w:type="dxa"/>
            <w:vAlign w:val="top"/>
          </w:tcPr>
          <w:p w14:paraId="73461FF7">
            <w:pPr>
              <w:jc w:val="left"/>
              <w:rPr>
                <w:color w:val="000000"/>
                <w:sz w:val="21"/>
                <w:szCs w:val="21"/>
              </w:rPr>
            </w:pPr>
            <w:r>
              <w:rPr>
                <w:rFonts w:ascii="宋体" w:hAnsi="宋体" w:eastAsia="宋体"/>
                <w:sz w:val="20"/>
                <w:szCs w:val="20"/>
              </w:rPr>
              <w:t>社区老年人常见健康问题及护理措施。</w:t>
            </w:r>
          </w:p>
        </w:tc>
      </w:tr>
      <w:tr w14:paraId="4BB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360" w:type="dxa"/>
            <w:vAlign w:val="center"/>
          </w:tcPr>
          <w:p w14:paraId="225A8E4D">
            <w:pPr>
              <w:jc w:val="left"/>
              <w:rPr>
                <w:rFonts w:hint="eastAsia"/>
                <w:color w:val="000000"/>
                <w:sz w:val="21"/>
                <w:szCs w:val="21"/>
              </w:rPr>
            </w:pPr>
            <w:r>
              <w:rPr>
                <w:rFonts w:hint="eastAsia" w:ascii="宋体" w:hAnsi="宋体" w:eastAsia="宋体"/>
                <w:sz w:val="20"/>
                <w:szCs w:val="20"/>
              </w:rPr>
              <w:t>1</w:t>
            </w:r>
            <w:r>
              <w:rPr>
                <w:rFonts w:ascii="宋体" w:hAnsi="宋体" w:eastAsia="宋体"/>
                <w:sz w:val="20"/>
                <w:szCs w:val="20"/>
              </w:rPr>
              <w:t>0</w:t>
            </w:r>
          </w:p>
        </w:tc>
        <w:tc>
          <w:tcPr>
            <w:tcW w:w="696" w:type="dxa"/>
            <w:vAlign w:val="center"/>
          </w:tcPr>
          <w:p w14:paraId="345145B0">
            <w:pPr>
              <w:jc w:val="left"/>
              <w:rPr>
                <w:rFonts w:hint="eastAsia" w:ascii="宋体" w:hAnsi="宋体" w:eastAsia="宋体"/>
                <w:sz w:val="20"/>
                <w:szCs w:val="20"/>
              </w:rPr>
            </w:pPr>
            <w:r>
              <w:rPr>
                <w:rFonts w:hint="eastAsia" w:ascii="宋体" w:hAnsi="宋体" w:eastAsia="宋体"/>
                <w:sz w:val="20"/>
                <w:szCs w:val="20"/>
              </w:rPr>
              <w:t>社区慢性病病人的护理与管理</w:t>
            </w:r>
          </w:p>
        </w:tc>
        <w:tc>
          <w:tcPr>
            <w:tcW w:w="2128" w:type="dxa"/>
            <w:vAlign w:val="top"/>
          </w:tcPr>
          <w:p w14:paraId="6C4B38EE">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慢性病定义、特点和危险因素</w:t>
            </w:r>
          </w:p>
          <w:p w14:paraId="79855C35">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慢性病的管理原则与流程;高血压、糖尿病管理流程与随访监测。。</w:t>
            </w:r>
          </w:p>
          <w:p w14:paraId="6A13C578">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慢性病社区管理模式</w:t>
            </w:r>
          </w:p>
          <w:p w14:paraId="4CDD3412">
            <w:pPr>
              <w:jc w:val="left"/>
              <w:rPr>
                <w:rFonts w:ascii="宋体" w:hAnsi="宋体" w:eastAsia="宋体"/>
                <w:sz w:val="20"/>
                <w:szCs w:val="20"/>
              </w:rPr>
            </w:pPr>
          </w:p>
        </w:tc>
        <w:tc>
          <w:tcPr>
            <w:tcW w:w="2410" w:type="dxa"/>
            <w:vAlign w:val="top"/>
          </w:tcPr>
          <w:p w14:paraId="78FBBEEE">
            <w:pPr>
              <w:jc w:val="left"/>
              <w:rPr>
                <w:rFonts w:ascii="宋体" w:hAnsi="宋体" w:eastAsia="宋体"/>
                <w:sz w:val="20"/>
                <w:szCs w:val="20"/>
              </w:rPr>
            </w:pPr>
            <w:r>
              <w:rPr>
                <w:rFonts w:ascii="宋体" w:hAnsi="宋体" w:eastAsia="宋体"/>
                <w:sz w:val="20"/>
                <w:szCs w:val="20"/>
              </w:rPr>
              <w:t>能在教师指导下对社区高血压和糖尿病病人进行管理</w:t>
            </w:r>
            <w:r>
              <w:rPr>
                <w:rFonts w:hint="eastAsia" w:ascii="宋体" w:hAnsi="宋体" w:eastAsia="宋体"/>
                <w:sz w:val="20"/>
                <w:szCs w:val="20"/>
              </w:rPr>
              <w:t>。</w:t>
            </w:r>
          </w:p>
          <w:p w14:paraId="715728CE">
            <w:pPr>
              <w:jc w:val="left"/>
              <w:rPr>
                <w:rFonts w:ascii="宋体" w:hAnsi="宋体" w:eastAsia="宋体"/>
                <w:sz w:val="20"/>
                <w:szCs w:val="20"/>
              </w:rPr>
            </w:pPr>
          </w:p>
        </w:tc>
        <w:tc>
          <w:tcPr>
            <w:tcW w:w="1275" w:type="dxa"/>
            <w:vAlign w:val="top"/>
          </w:tcPr>
          <w:p w14:paraId="3E26EC52">
            <w:pPr>
              <w:jc w:val="left"/>
              <w:rPr>
                <w:rFonts w:ascii="宋体" w:hAnsi="宋体" w:eastAsia="宋体"/>
                <w:sz w:val="20"/>
                <w:szCs w:val="20"/>
              </w:rPr>
            </w:pPr>
            <w:r>
              <w:rPr>
                <w:rFonts w:ascii="宋体" w:hAnsi="宋体" w:eastAsia="宋体"/>
                <w:sz w:val="20"/>
                <w:szCs w:val="20"/>
              </w:rPr>
              <w:t>树立依法行护的法律观念,具有运用相关法规保护护理对象和自身权益的意识,培养健康整体观和群体观。</w:t>
            </w:r>
          </w:p>
        </w:tc>
        <w:tc>
          <w:tcPr>
            <w:tcW w:w="1567" w:type="dxa"/>
            <w:vAlign w:val="top"/>
          </w:tcPr>
          <w:p w14:paraId="06E4217A">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.慢性病的管理原则与流程</w:t>
            </w:r>
            <w:r>
              <w:rPr>
                <w:rFonts w:hint="eastAsia" w:ascii="宋体" w:hAnsi="宋体" w:eastAsia="宋体"/>
                <w:sz w:val="20"/>
                <w:szCs w:val="20"/>
              </w:rPr>
              <w:t>。</w:t>
            </w:r>
          </w:p>
          <w:p w14:paraId="3B15DEA4">
            <w:pPr>
              <w:jc w:val="left"/>
              <w:rPr>
                <w:rFonts w:ascii="宋体" w:hAnsi="宋体" w:eastAsia="宋体"/>
                <w:sz w:val="20"/>
                <w:szCs w:val="20"/>
              </w:rPr>
            </w:pPr>
            <w:r>
              <w:rPr>
                <w:rFonts w:ascii="宋体" w:hAnsi="宋体" w:eastAsia="宋体"/>
                <w:sz w:val="20"/>
                <w:szCs w:val="20"/>
              </w:rPr>
              <w:t>2.高血压、糖尿病管理流程与随访监测。</w:t>
            </w:r>
          </w:p>
        </w:tc>
      </w:tr>
      <w:tr w14:paraId="1F14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360" w:type="dxa"/>
            <w:vAlign w:val="center"/>
          </w:tcPr>
          <w:p w14:paraId="07A758E5">
            <w:pPr>
              <w:jc w:val="left"/>
              <w:rPr>
                <w:rFonts w:hint="eastAsia"/>
                <w:color w:val="000000"/>
                <w:sz w:val="21"/>
                <w:szCs w:val="21"/>
              </w:rPr>
            </w:pPr>
            <w:r>
              <w:rPr>
                <w:rFonts w:hint="eastAsia" w:ascii="宋体" w:hAnsi="宋体" w:eastAsia="宋体"/>
                <w:sz w:val="20"/>
                <w:szCs w:val="20"/>
              </w:rPr>
              <w:t>1</w:t>
            </w:r>
            <w:r>
              <w:rPr>
                <w:rFonts w:ascii="宋体" w:hAnsi="宋体" w:eastAsia="宋体"/>
                <w:sz w:val="20"/>
                <w:szCs w:val="20"/>
              </w:rPr>
              <w:t>1</w:t>
            </w:r>
          </w:p>
        </w:tc>
        <w:tc>
          <w:tcPr>
            <w:tcW w:w="696" w:type="dxa"/>
            <w:vAlign w:val="center"/>
          </w:tcPr>
          <w:p w14:paraId="42E090F4">
            <w:pPr>
              <w:jc w:val="left"/>
              <w:rPr>
                <w:rFonts w:hint="eastAsia" w:ascii="宋体" w:hAnsi="宋体" w:eastAsia="宋体"/>
                <w:sz w:val="20"/>
                <w:szCs w:val="20"/>
              </w:rPr>
            </w:pPr>
            <w:r>
              <w:rPr>
                <w:rFonts w:hint="eastAsia" w:ascii="宋体" w:hAnsi="宋体" w:eastAsia="宋体"/>
                <w:sz w:val="20"/>
                <w:szCs w:val="20"/>
              </w:rPr>
              <w:t>社区伤残病人的康复护理</w:t>
            </w:r>
          </w:p>
        </w:tc>
        <w:tc>
          <w:tcPr>
            <w:tcW w:w="2128" w:type="dxa"/>
            <w:vAlign w:val="top"/>
          </w:tcPr>
          <w:p w14:paraId="504A6FC2">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社区康复护理概念、工作内容和工作特点;社区常用康复护理技术与方法。</w:t>
            </w:r>
          </w:p>
          <w:p w14:paraId="12C498D7">
            <w:pPr>
              <w:jc w:val="left"/>
              <w:rPr>
                <w:rFonts w:hint="eastAsia"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康复及康复医学概念、目标;常见疾病病人的社区康复护理内容和方法。</w:t>
            </w:r>
          </w:p>
          <w:p w14:paraId="0A53A059">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康复服务方式、社区康复的管理体系。</w:t>
            </w:r>
          </w:p>
        </w:tc>
        <w:tc>
          <w:tcPr>
            <w:tcW w:w="2410" w:type="dxa"/>
            <w:vAlign w:val="top"/>
          </w:tcPr>
          <w:p w14:paraId="46E27589">
            <w:pPr>
              <w:jc w:val="left"/>
              <w:rPr>
                <w:rFonts w:ascii="宋体" w:hAnsi="宋体" w:eastAsia="宋体"/>
                <w:sz w:val="20"/>
                <w:szCs w:val="20"/>
              </w:rPr>
            </w:pPr>
            <w:r>
              <w:rPr>
                <w:rFonts w:ascii="宋体" w:hAnsi="宋体" w:eastAsia="宋体"/>
                <w:sz w:val="20"/>
                <w:szCs w:val="20"/>
              </w:rPr>
              <w:t>能对社区伤残病人进行康复护理评估,围绕康复护理原则与目标、根据评估结果制订康复护理措施,并进行康复护理指导。</w:t>
            </w:r>
          </w:p>
        </w:tc>
        <w:tc>
          <w:tcPr>
            <w:tcW w:w="1275" w:type="dxa"/>
            <w:vAlign w:val="top"/>
          </w:tcPr>
          <w:p w14:paraId="27652FB3">
            <w:pPr>
              <w:jc w:val="left"/>
              <w:rPr>
                <w:rFonts w:ascii="宋体" w:hAnsi="宋体" w:eastAsia="宋体"/>
                <w:sz w:val="20"/>
                <w:szCs w:val="20"/>
              </w:rPr>
            </w:pPr>
            <w:r>
              <w:rPr>
                <w:rFonts w:ascii="宋体" w:hAnsi="宋体" w:eastAsia="宋体"/>
                <w:sz w:val="20"/>
                <w:szCs w:val="20"/>
              </w:rPr>
              <w:t>尊重伤残病人人格、生命价值,具有关心病人、平等待人的护理职业精神</w:t>
            </w:r>
          </w:p>
        </w:tc>
        <w:tc>
          <w:tcPr>
            <w:tcW w:w="1567" w:type="dxa"/>
            <w:vAlign w:val="top"/>
          </w:tcPr>
          <w:p w14:paraId="3D81F7D8">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.社区常用康复护理技术与方法。</w:t>
            </w:r>
          </w:p>
          <w:p w14:paraId="36A1CD80">
            <w:pPr>
              <w:jc w:val="left"/>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.常见疾病病人的社区康复护理内容和方法。</w:t>
            </w:r>
          </w:p>
        </w:tc>
      </w:tr>
      <w:tr w14:paraId="71B1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360" w:type="dxa"/>
            <w:vAlign w:val="center"/>
          </w:tcPr>
          <w:p w14:paraId="25CD6BF4">
            <w:pPr>
              <w:jc w:val="left"/>
              <w:rPr>
                <w:rFonts w:hint="eastAsia"/>
                <w:color w:val="000000"/>
                <w:sz w:val="21"/>
                <w:szCs w:val="21"/>
              </w:rPr>
            </w:pPr>
            <w:r>
              <w:rPr>
                <w:rFonts w:hint="eastAsia" w:ascii="宋体" w:hAnsi="宋体" w:eastAsia="宋体"/>
                <w:sz w:val="20"/>
                <w:szCs w:val="20"/>
              </w:rPr>
              <w:t>1</w:t>
            </w:r>
            <w:r>
              <w:rPr>
                <w:rFonts w:ascii="宋体" w:hAnsi="宋体" w:eastAsia="宋体"/>
                <w:sz w:val="20"/>
                <w:szCs w:val="20"/>
              </w:rPr>
              <w:t>2</w:t>
            </w:r>
          </w:p>
        </w:tc>
        <w:tc>
          <w:tcPr>
            <w:tcW w:w="696" w:type="dxa"/>
            <w:vAlign w:val="center"/>
          </w:tcPr>
          <w:p w14:paraId="7D4D9BA9">
            <w:pPr>
              <w:jc w:val="left"/>
              <w:rPr>
                <w:rFonts w:hint="eastAsia" w:ascii="宋体" w:hAnsi="宋体" w:eastAsia="宋体"/>
                <w:sz w:val="20"/>
                <w:szCs w:val="20"/>
              </w:rPr>
            </w:pPr>
            <w:r>
              <w:rPr>
                <w:rFonts w:hint="eastAsia" w:ascii="宋体" w:hAnsi="宋体" w:eastAsia="宋体"/>
                <w:sz w:val="20"/>
                <w:szCs w:val="20"/>
              </w:rPr>
              <w:t>社区安宁护与管理</w:t>
            </w:r>
          </w:p>
        </w:tc>
        <w:tc>
          <w:tcPr>
            <w:tcW w:w="2128" w:type="dxa"/>
            <w:vAlign w:val="top"/>
          </w:tcPr>
          <w:p w14:paraId="0B62DEB7">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安宁疗护的概念及内涵;社区安宁疗护中常见症状控制和护理;社区安宁疗护中的舒适照护</w:t>
            </w:r>
            <w:r>
              <w:rPr>
                <w:rFonts w:hint="eastAsia" w:ascii="宋体" w:hAnsi="宋体" w:eastAsia="宋体"/>
                <w:sz w:val="20"/>
                <w:szCs w:val="20"/>
              </w:rPr>
              <w:t>。</w:t>
            </w:r>
          </w:p>
          <w:p w14:paraId="514D1645">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安宁疗护的机构;社区安宁疗护中的心理支持和人文护理;社区安宁疗护中的社会支持;社区安宁疗护中的哀伤辅导。</w:t>
            </w:r>
          </w:p>
          <w:p w14:paraId="7E51CA01">
            <w:pPr>
              <w:jc w:val="left"/>
              <w:rPr>
                <w:rFonts w:ascii="宋体" w:hAnsi="宋体" w:eastAsia="宋体"/>
                <w:sz w:val="20"/>
                <w:szCs w:val="20"/>
              </w:rPr>
            </w:pPr>
            <w:r>
              <w:rPr>
                <w:rFonts w:hint="eastAsia" w:ascii="宋体" w:hAnsi="宋体" w:eastAsia="宋体"/>
                <w:sz w:val="20"/>
                <w:szCs w:val="20"/>
              </w:rPr>
              <w:t>3</w:t>
            </w:r>
            <w:r>
              <w:rPr>
                <w:rFonts w:ascii="宋体" w:hAnsi="宋体" w:eastAsia="宋体"/>
                <w:sz w:val="20"/>
                <w:szCs w:val="20"/>
              </w:rPr>
              <w:t>.</w:t>
            </w:r>
            <w:r>
              <w:rPr>
                <w:rFonts w:hint="eastAsia" w:ascii="宋体" w:hAnsi="宋体" w:eastAsia="宋体"/>
                <w:sz w:val="20"/>
                <w:szCs w:val="20"/>
              </w:rPr>
              <w:t>理解</w:t>
            </w:r>
            <w:r>
              <w:rPr>
                <w:rFonts w:ascii="宋体" w:hAnsi="宋体" w:eastAsia="宋体"/>
                <w:sz w:val="20"/>
                <w:szCs w:val="20"/>
              </w:rPr>
              <w:t>安宁疗护的起源和发展;死亡教育的概念、意义和内容</w:t>
            </w:r>
            <w:r>
              <w:rPr>
                <w:rFonts w:hint="eastAsia" w:ascii="宋体" w:hAnsi="宋体" w:eastAsia="宋体"/>
                <w:sz w:val="20"/>
                <w:szCs w:val="20"/>
              </w:rPr>
              <w:t>。</w:t>
            </w:r>
          </w:p>
        </w:tc>
        <w:tc>
          <w:tcPr>
            <w:tcW w:w="2410" w:type="dxa"/>
            <w:vAlign w:val="top"/>
          </w:tcPr>
          <w:p w14:paraId="5A9EFBE2">
            <w:pPr>
              <w:jc w:val="left"/>
              <w:rPr>
                <w:rFonts w:ascii="宋体" w:hAnsi="宋体" w:eastAsia="宋体"/>
                <w:sz w:val="20"/>
                <w:szCs w:val="20"/>
              </w:rPr>
            </w:pPr>
            <w:r>
              <w:rPr>
                <w:rFonts w:ascii="宋体" w:hAnsi="宋体" w:eastAsia="宋体"/>
                <w:sz w:val="20"/>
                <w:szCs w:val="20"/>
              </w:rPr>
              <w:t>能运用所学知识为社区病人实施安宁疗护。</w:t>
            </w:r>
          </w:p>
          <w:p w14:paraId="23BF377A">
            <w:pPr>
              <w:jc w:val="left"/>
              <w:rPr>
                <w:rFonts w:ascii="宋体" w:hAnsi="宋体" w:eastAsia="宋体"/>
                <w:sz w:val="20"/>
                <w:szCs w:val="20"/>
              </w:rPr>
            </w:pPr>
          </w:p>
        </w:tc>
        <w:tc>
          <w:tcPr>
            <w:tcW w:w="1275" w:type="dxa"/>
            <w:vAlign w:val="top"/>
          </w:tcPr>
          <w:p w14:paraId="55EB9772">
            <w:pPr>
              <w:jc w:val="left"/>
              <w:rPr>
                <w:rFonts w:ascii="宋体" w:hAnsi="宋体" w:eastAsia="宋体"/>
                <w:sz w:val="20"/>
                <w:szCs w:val="20"/>
              </w:rPr>
            </w:pPr>
            <w:r>
              <w:rPr>
                <w:rFonts w:ascii="宋体" w:hAnsi="宋体" w:eastAsia="宋体"/>
                <w:sz w:val="20"/>
                <w:szCs w:val="20"/>
              </w:rPr>
              <w:t>在实施安宁疗护的过程中,体现人文护理。</w:t>
            </w:r>
          </w:p>
        </w:tc>
        <w:tc>
          <w:tcPr>
            <w:tcW w:w="1567" w:type="dxa"/>
            <w:vAlign w:val="top"/>
          </w:tcPr>
          <w:p w14:paraId="38D2C2BF">
            <w:pPr>
              <w:jc w:val="left"/>
              <w:rPr>
                <w:rFonts w:ascii="宋体" w:hAnsi="宋体" w:eastAsia="宋体"/>
                <w:sz w:val="20"/>
                <w:szCs w:val="20"/>
              </w:rPr>
            </w:pPr>
            <w:r>
              <w:rPr>
                <w:rFonts w:ascii="宋体" w:hAnsi="宋体" w:eastAsia="宋体"/>
                <w:sz w:val="20"/>
                <w:szCs w:val="20"/>
              </w:rPr>
              <w:t>1.安宁疗护的概念及内涵</w:t>
            </w:r>
            <w:r>
              <w:rPr>
                <w:rFonts w:hint="eastAsia" w:ascii="宋体" w:hAnsi="宋体" w:eastAsia="宋体"/>
                <w:sz w:val="20"/>
                <w:szCs w:val="20"/>
              </w:rPr>
              <w:t>。2</w:t>
            </w:r>
            <w:r>
              <w:rPr>
                <w:rFonts w:ascii="宋体" w:hAnsi="宋体" w:eastAsia="宋体"/>
                <w:sz w:val="20"/>
                <w:szCs w:val="20"/>
              </w:rPr>
              <w:t>.社区安宁疗护中常见症状控制和护理</w:t>
            </w:r>
            <w:r>
              <w:rPr>
                <w:rFonts w:hint="eastAsia" w:ascii="宋体" w:hAnsi="宋体" w:eastAsia="宋体"/>
                <w:sz w:val="20"/>
                <w:szCs w:val="20"/>
              </w:rPr>
              <w:t>。</w:t>
            </w:r>
          </w:p>
        </w:tc>
      </w:tr>
      <w:tr w14:paraId="7B92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360" w:type="dxa"/>
            <w:vAlign w:val="center"/>
          </w:tcPr>
          <w:p w14:paraId="1F62FE47">
            <w:pPr>
              <w:jc w:val="left"/>
              <w:rPr>
                <w:rFonts w:hint="eastAsia"/>
                <w:color w:val="000000"/>
                <w:sz w:val="21"/>
                <w:szCs w:val="21"/>
              </w:rPr>
            </w:pPr>
            <w:r>
              <w:rPr>
                <w:rFonts w:ascii="宋体" w:hAnsi="宋体" w:eastAsia="宋体"/>
                <w:sz w:val="20"/>
                <w:szCs w:val="20"/>
              </w:rPr>
              <w:t>13</w:t>
            </w:r>
          </w:p>
        </w:tc>
        <w:tc>
          <w:tcPr>
            <w:tcW w:w="696" w:type="dxa"/>
            <w:vAlign w:val="center"/>
          </w:tcPr>
          <w:p w14:paraId="52457FFF">
            <w:pPr>
              <w:jc w:val="left"/>
              <w:rPr>
                <w:rFonts w:hint="eastAsia" w:ascii="宋体" w:hAnsi="宋体" w:eastAsia="宋体"/>
                <w:sz w:val="20"/>
                <w:szCs w:val="20"/>
              </w:rPr>
            </w:pPr>
            <w:r>
              <w:rPr>
                <w:rFonts w:hint="eastAsia" w:ascii="宋体" w:hAnsi="宋体" w:eastAsia="宋体"/>
                <w:sz w:val="20"/>
                <w:szCs w:val="20"/>
              </w:rPr>
              <w:t>社区突发公共卫生事件的管理和护理</w:t>
            </w:r>
          </w:p>
        </w:tc>
        <w:tc>
          <w:tcPr>
            <w:tcW w:w="2128" w:type="dxa"/>
            <w:vAlign w:val="top"/>
          </w:tcPr>
          <w:p w14:paraId="054FD061">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突发公共事件及灾害概念、特征及分级;突发应急管理概念及模式,监测及预警管理;社区传染病管理特点。</w:t>
            </w:r>
          </w:p>
          <w:p w14:paraId="1BC3DD4A">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突发公共卫生事件分类;4R应急管理理论及应用;突发公共卫生事件报告制度及应急预案管理;传染病报告与分类管理;社区病例监测及管理。</w:t>
            </w:r>
          </w:p>
          <w:p w14:paraId="505C8D7B">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突发公共卫生事件应急管理的组织体系、预警分类及预案内容;突发事件应急恢复期管理;重点人群的心理干预。</w:t>
            </w:r>
          </w:p>
        </w:tc>
        <w:tc>
          <w:tcPr>
            <w:tcW w:w="2410" w:type="dxa"/>
            <w:vAlign w:val="top"/>
          </w:tcPr>
          <w:p w14:paraId="0799B185">
            <w:pPr>
              <w:jc w:val="left"/>
              <w:rPr>
                <w:rFonts w:ascii="宋体" w:hAnsi="宋体" w:eastAsia="宋体"/>
                <w:sz w:val="20"/>
                <w:szCs w:val="20"/>
              </w:rPr>
            </w:pPr>
            <w:r>
              <w:rPr>
                <w:rFonts w:ascii="宋体" w:hAnsi="宋体" w:eastAsia="宋体"/>
                <w:sz w:val="20"/>
                <w:szCs w:val="20"/>
              </w:rPr>
              <w:t>能正确、快速评估突发公共卫生事件、建立社区预案与重点病人管理手段。</w:t>
            </w:r>
          </w:p>
        </w:tc>
        <w:tc>
          <w:tcPr>
            <w:tcW w:w="1275" w:type="dxa"/>
            <w:vAlign w:val="top"/>
          </w:tcPr>
          <w:p w14:paraId="4E7B9255">
            <w:pPr>
              <w:jc w:val="left"/>
              <w:rPr>
                <w:rFonts w:ascii="宋体" w:hAnsi="宋体" w:eastAsia="宋体"/>
                <w:sz w:val="20"/>
                <w:szCs w:val="20"/>
              </w:rPr>
            </w:pPr>
            <w:r>
              <w:rPr>
                <w:rFonts w:ascii="宋体" w:hAnsi="宋体" w:eastAsia="宋体"/>
                <w:sz w:val="20"/>
                <w:szCs w:val="20"/>
              </w:rPr>
              <w:t>具备突发公共卫生事件的预防、快速反应及救助的素质。</w:t>
            </w:r>
          </w:p>
        </w:tc>
        <w:tc>
          <w:tcPr>
            <w:tcW w:w="1567" w:type="dxa"/>
            <w:vAlign w:val="top"/>
          </w:tcPr>
          <w:p w14:paraId="76B2CA5A">
            <w:pPr>
              <w:jc w:val="left"/>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.突发公共事件及灾害概念、特征及分级</w:t>
            </w:r>
            <w:r>
              <w:rPr>
                <w:rFonts w:hint="eastAsia" w:ascii="宋体" w:hAnsi="宋体" w:eastAsia="宋体"/>
                <w:sz w:val="20"/>
                <w:szCs w:val="20"/>
              </w:rPr>
              <w:t>。</w:t>
            </w:r>
          </w:p>
          <w:p w14:paraId="73088096">
            <w:pPr>
              <w:jc w:val="left"/>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.社区传染病管理特点。</w:t>
            </w:r>
          </w:p>
          <w:p w14:paraId="2662DE56">
            <w:pPr>
              <w:jc w:val="left"/>
              <w:rPr>
                <w:rFonts w:hint="eastAsia" w:ascii="宋体" w:hAnsi="宋体" w:eastAsia="宋体"/>
                <w:sz w:val="20"/>
                <w:szCs w:val="20"/>
              </w:rPr>
            </w:pPr>
            <w:r>
              <w:rPr>
                <w:rFonts w:ascii="宋体" w:hAnsi="宋体" w:eastAsia="宋体"/>
                <w:sz w:val="20"/>
                <w:szCs w:val="20"/>
              </w:rPr>
              <w:t>3.传染病报告与分类管理</w:t>
            </w:r>
            <w:r>
              <w:rPr>
                <w:rFonts w:hint="eastAsia" w:ascii="宋体" w:hAnsi="宋体" w:eastAsia="宋体"/>
                <w:sz w:val="20"/>
                <w:szCs w:val="20"/>
              </w:rPr>
              <w:t>。</w:t>
            </w:r>
          </w:p>
          <w:p w14:paraId="2816B462">
            <w:pPr>
              <w:jc w:val="left"/>
              <w:rPr>
                <w:rFonts w:ascii="宋体" w:hAnsi="宋体" w:eastAsia="宋体"/>
                <w:sz w:val="20"/>
                <w:szCs w:val="20"/>
              </w:rPr>
            </w:pPr>
          </w:p>
        </w:tc>
      </w:tr>
      <w:tr w14:paraId="547A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0" w:type="dxa"/>
            <w:vAlign w:val="center"/>
          </w:tcPr>
          <w:p w14:paraId="68A1E74C">
            <w:pPr>
              <w:jc w:val="left"/>
              <w:rPr>
                <w:rFonts w:hint="eastAsia"/>
                <w:color w:val="000000"/>
                <w:sz w:val="21"/>
                <w:szCs w:val="21"/>
              </w:rPr>
            </w:pPr>
            <w:r>
              <w:rPr>
                <w:rFonts w:hint="eastAsia" w:ascii="宋体" w:hAnsi="宋体" w:eastAsia="宋体"/>
                <w:sz w:val="20"/>
                <w:szCs w:val="20"/>
              </w:rPr>
              <w:t>1</w:t>
            </w:r>
            <w:r>
              <w:rPr>
                <w:rFonts w:ascii="宋体" w:hAnsi="宋体" w:eastAsia="宋体"/>
                <w:sz w:val="20"/>
                <w:szCs w:val="20"/>
              </w:rPr>
              <w:t>4</w:t>
            </w:r>
          </w:p>
        </w:tc>
        <w:tc>
          <w:tcPr>
            <w:tcW w:w="696" w:type="dxa"/>
            <w:vAlign w:val="center"/>
          </w:tcPr>
          <w:p w14:paraId="111584ED">
            <w:pPr>
              <w:jc w:val="left"/>
              <w:rPr>
                <w:rFonts w:hint="eastAsia" w:ascii="宋体" w:hAnsi="宋体" w:eastAsia="宋体"/>
                <w:sz w:val="20"/>
                <w:szCs w:val="20"/>
              </w:rPr>
            </w:pPr>
            <w:r>
              <w:rPr>
                <w:rFonts w:hint="eastAsia" w:ascii="宋体" w:hAnsi="宋体" w:eastAsia="宋体"/>
                <w:sz w:val="20"/>
                <w:szCs w:val="20"/>
              </w:rPr>
              <w:t>社区健康信息化管理</w:t>
            </w:r>
          </w:p>
        </w:tc>
        <w:tc>
          <w:tcPr>
            <w:tcW w:w="2128" w:type="dxa"/>
            <w:vAlign w:val="top"/>
          </w:tcPr>
          <w:p w14:paraId="4A454A35">
            <w:pPr>
              <w:jc w:val="left"/>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知道</w:t>
            </w:r>
            <w:r>
              <w:rPr>
                <w:rFonts w:ascii="宋体" w:hAnsi="宋体" w:eastAsia="宋体"/>
                <w:sz w:val="20"/>
                <w:szCs w:val="20"/>
              </w:rPr>
              <w:t>社区服务对象的健康档案建立流程</w:t>
            </w:r>
            <w:r>
              <w:rPr>
                <w:rFonts w:hint="eastAsia" w:ascii="宋体" w:hAnsi="宋体" w:eastAsia="宋体"/>
                <w:sz w:val="20"/>
                <w:szCs w:val="20"/>
              </w:rPr>
              <w:t>。</w:t>
            </w:r>
          </w:p>
          <w:p w14:paraId="6D783D24">
            <w:pPr>
              <w:jc w:val="left"/>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知道</w:t>
            </w:r>
            <w:r>
              <w:rPr>
                <w:rFonts w:ascii="宋体" w:hAnsi="宋体" w:eastAsia="宋体"/>
                <w:sz w:val="20"/>
                <w:szCs w:val="20"/>
              </w:rPr>
              <w:t>社区健康档案的使用与管理内容。</w:t>
            </w:r>
          </w:p>
          <w:p w14:paraId="730D18FB">
            <w:pPr>
              <w:jc w:val="left"/>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理解</w:t>
            </w:r>
            <w:r>
              <w:rPr>
                <w:rFonts w:ascii="宋体" w:hAnsi="宋体" w:eastAsia="宋体"/>
                <w:sz w:val="20"/>
                <w:szCs w:val="20"/>
              </w:rPr>
              <w:t>社区卫生服务信息系统在社区健康管理中的应用。</w:t>
            </w:r>
          </w:p>
        </w:tc>
        <w:tc>
          <w:tcPr>
            <w:tcW w:w="2410" w:type="dxa"/>
            <w:vAlign w:val="top"/>
          </w:tcPr>
          <w:p w14:paraId="711BEB2B">
            <w:pPr>
              <w:jc w:val="left"/>
              <w:rPr>
                <w:rFonts w:ascii="宋体" w:hAnsi="宋体" w:eastAsia="宋体"/>
                <w:sz w:val="20"/>
                <w:szCs w:val="20"/>
              </w:rPr>
            </w:pPr>
            <w:r>
              <w:rPr>
                <w:rFonts w:ascii="宋体" w:hAnsi="宋体" w:eastAsia="宋体"/>
                <w:sz w:val="20"/>
                <w:szCs w:val="20"/>
              </w:rPr>
              <w:t>1.能够为社区服务对象建立居民健康档案。</w:t>
            </w:r>
          </w:p>
          <w:p w14:paraId="413421FA">
            <w:pPr>
              <w:jc w:val="left"/>
              <w:rPr>
                <w:rFonts w:ascii="宋体" w:hAnsi="宋体" w:eastAsia="宋体"/>
                <w:sz w:val="20"/>
                <w:szCs w:val="20"/>
              </w:rPr>
            </w:pPr>
            <w:r>
              <w:rPr>
                <w:rFonts w:ascii="宋体" w:hAnsi="宋体" w:eastAsia="宋体"/>
                <w:sz w:val="20"/>
                <w:szCs w:val="20"/>
              </w:rPr>
              <w:t>2.能够建立社区居民电子健康档案</w:t>
            </w:r>
            <w:r>
              <w:rPr>
                <w:rFonts w:hint="eastAsia" w:ascii="宋体" w:hAnsi="宋体" w:eastAsia="宋体"/>
                <w:sz w:val="20"/>
                <w:szCs w:val="20"/>
              </w:rPr>
              <w:t>。</w:t>
            </w:r>
          </w:p>
          <w:p w14:paraId="607E8B6C">
            <w:pPr>
              <w:jc w:val="left"/>
              <w:rPr>
                <w:rFonts w:ascii="宋体" w:hAnsi="宋体" w:eastAsia="宋体"/>
                <w:sz w:val="20"/>
                <w:szCs w:val="20"/>
              </w:rPr>
            </w:pPr>
          </w:p>
        </w:tc>
        <w:tc>
          <w:tcPr>
            <w:tcW w:w="1275" w:type="dxa"/>
            <w:vAlign w:val="top"/>
          </w:tcPr>
          <w:p w14:paraId="5DB50EC0">
            <w:pPr>
              <w:jc w:val="left"/>
              <w:rPr>
                <w:rFonts w:ascii="宋体" w:hAnsi="宋体" w:eastAsia="宋体"/>
                <w:sz w:val="20"/>
                <w:szCs w:val="20"/>
              </w:rPr>
            </w:pPr>
            <w:r>
              <w:rPr>
                <w:rFonts w:ascii="宋体" w:hAnsi="宋体" w:eastAsia="宋体"/>
                <w:sz w:val="20"/>
                <w:szCs w:val="20"/>
              </w:rPr>
              <w:t>树立为社区居民提供健康信息化服务的意识。</w:t>
            </w:r>
          </w:p>
        </w:tc>
        <w:tc>
          <w:tcPr>
            <w:tcW w:w="1567" w:type="dxa"/>
            <w:vAlign w:val="top"/>
          </w:tcPr>
          <w:p w14:paraId="5BCED39B">
            <w:pPr>
              <w:jc w:val="left"/>
              <w:rPr>
                <w:rFonts w:ascii="宋体" w:hAnsi="宋体" w:eastAsia="宋体"/>
                <w:sz w:val="20"/>
                <w:szCs w:val="20"/>
              </w:rPr>
            </w:pPr>
            <w:r>
              <w:rPr>
                <w:rFonts w:ascii="宋体" w:hAnsi="宋体" w:eastAsia="宋体"/>
                <w:sz w:val="20"/>
                <w:szCs w:val="20"/>
              </w:rPr>
              <w:t>1.社区服务对象的健康档案建立流程</w:t>
            </w:r>
            <w:r>
              <w:rPr>
                <w:rFonts w:hint="eastAsia" w:ascii="宋体" w:hAnsi="宋体" w:eastAsia="宋体"/>
                <w:sz w:val="20"/>
                <w:szCs w:val="20"/>
              </w:rPr>
              <w:t>。</w:t>
            </w:r>
          </w:p>
          <w:p w14:paraId="29876D22">
            <w:pPr>
              <w:jc w:val="left"/>
              <w:rPr>
                <w:rFonts w:ascii="宋体" w:hAnsi="宋体" w:eastAsia="宋体"/>
                <w:sz w:val="20"/>
                <w:szCs w:val="20"/>
              </w:rPr>
            </w:pPr>
            <w:r>
              <w:rPr>
                <w:rFonts w:ascii="宋体" w:hAnsi="宋体" w:eastAsia="宋体"/>
                <w:sz w:val="20"/>
                <w:szCs w:val="20"/>
              </w:rPr>
              <w:t>2.社区健康档案的使用与管理内容。</w:t>
            </w:r>
          </w:p>
        </w:tc>
      </w:tr>
    </w:tbl>
    <w:p w14:paraId="7D39985C">
      <w:pPr>
        <w:pStyle w:val="20"/>
        <w:spacing w:before="81" w:after="163"/>
      </w:pPr>
      <w:r>
        <w:rPr>
          <w:rFonts w:hint="eastAsia"/>
        </w:rPr>
        <w:t>（二）教学单元对课程目标的支撑关系</w:t>
      </w:r>
    </w:p>
    <w:tbl>
      <w:tblPr>
        <w:tblStyle w:val="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62"/>
        <w:gridCol w:w="567"/>
        <w:gridCol w:w="567"/>
        <w:gridCol w:w="567"/>
        <w:gridCol w:w="567"/>
        <w:gridCol w:w="567"/>
        <w:gridCol w:w="567"/>
        <w:gridCol w:w="699"/>
      </w:tblGrid>
      <w:tr w14:paraId="636F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4" w:hRule="atLeast"/>
          <w:jc w:val="center"/>
        </w:trPr>
        <w:tc>
          <w:tcPr>
            <w:tcW w:w="4262" w:type="dxa"/>
            <w:tcBorders>
              <w:top w:val="single" w:color="auto" w:sz="12" w:space="0"/>
              <w:left w:val="single" w:color="auto" w:sz="12" w:space="0"/>
              <w:tl2br w:val="single" w:color="auto" w:sz="4" w:space="0"/>
            </w:tcBorders>
          </w:tcPr>
          <w:p w14:paraId="0CB31D63">
            <w:pPr>
              <w:pStyle w:val="16"/>
              <w:ind w:firstLine="489"/>
              <w:jc w:val="right"/>
              <w:rPr>
                <w:szCs w:val="16"/>
              </w:rPr>
            </w:pPr>
            <w:r>
              <w:rPr>
                <w:rFonts w:hint="eastAsia"/>
                <w:szCs w:val="16"/>
              </w:rPr>
              <w:t>课程目标</w:t>
            </w:r>
          </w:p>
          <w:p w14:paraId="76825B90">
            <w:pPr>
              <w:pStyle w:val="16"/>
              <w:ind w:right="210"/>
              <w:jc w:val="left"/>
              <w:rPr>
                <w:szCs w:val="16"/>
              </w:rPr>
            </w:pPr>
          </w:p>
          <w:p w14:paraId="518D0665">
            <w:pPr>
              <w:pStyle w:val="16"/>
              <w:ind w:right="210"/>
              <w:jc w:val="left"/>
              <w:rPr>
                <w:szCs w:val="16"/>
              </w:rPr>
            </w:pPr>
            <w:r>
              <w:rPr>
                <w:rFonts w:hint="eastAsia"/>
                <w:szCs w:val="16"/>
              </w:rPr>
              <w:t>教学单元</w:t>
            </w:r>
          </w:p>
        </w:tc>
        <w:tc>
          <w:tcPr>
            <w:tcW w:w="567" w:type="dxa"/>
            <w:tcBorders>
              <w:top w:val="single" w:color="auto" w:sz="12" w:space="0"/>
            </w:tcBorders>
            <w:vAlign w:val="center"/>
          </w:tcPr>
          <w:p w14:paraId="0AA03490">
            <w:pPr>
              <w:pStyle w:val="16"/>
              <w:tabs>
                <w:tab w:val="center" w:pos="4153"/>
                <w:tab w:val="right" w:pos="8306"/>
              </w:tabs>
              <w:jc w:val="center"/>
              <w:rPr>
                <w:szCs w:val="16"/>
                <w:highlight w:val="none"/>
              </w:rPr>
            </w:pPr>
            <w:r>
              <w:rPr>
                <w:szCs w:val="16"/>
                <w:highlight w:val="none"/>
              </w:rPr>
              <w:t>1</w:t>
            </w:r>
          </w:p>
        </w:tc>
        <w:tc>
          <w:tcPr>
            <w:tcW w:w="567" w:type="dxa"/>
            <w:tcBorders>
              <w:top w:val="single" w:color="auto" w:sz="12" w:space="0"/>
            </w:tcBorders>
            <w:vAlign w:val="center"/>
          </w:tcPr>
          <w:p w14:paraId="02C3F02F">
            <w:pPr>
              <w:pStyle w:val="16"/>
              <w:tabs>
                <w:tab w:val="center" w:pos="4153"/>
                <w:tab w:val="right" w:pos="8306"/>
              </w:tabs>
              <w:jc w:val="center"/>
              <w:rPr>
                <w:szCs w:val="16"/>
                <w:highlight w:val="none"/>
              </w:rPr>
            </w:pPr>
            <w:r>
              <w:rPr>
                <w:szCs w:val="16"/>
                <w:highlight w:val="none"/>
              </w:rPr>
              <w:t>2</w:t>
            </w:r>
          </w:p>
        </w:tc>
        <w:tc>
          <w:tcPr>
            <w:tcW w:w="567" w:type="dxa"/>
            <w:tcBorders>
              <w:top w:val="single" w:color="auto" w:sz="12" w:space="0"/>
            </w:tcBorders>
            <w:vAlign w:val="center"/>
          </w:tcPr>
          <w:p w14:paraId="4AF15E5E">
            <w:pPr>
              <w:pStyle w:val="16"/>
              <w:tabs>
                <w:tab w:val="center" w:pos="4153"/>
                <w:tab w:val="right" w:pos="8306"/>
              </w:tabs>
              <w:jc w:val="center"/>
              <w:rPr>
                <w:szCs w:val="16"/>
                <w:highlight w:val="none"/>
              </w:rPr>
            </w:pPr>
            <w:r>
              <w:rPr>
                <w:rFonts w:hint="eastAsia"/>
                <w:szCs w:val="16"/>
                <w:highlight w:val="none"/>
              </w:rPr>
              <w:t>3</w:t>
            </w:r>
          </w:p>
        </w:tc>
        <w:tc>
          <w:tcPr>
            <w:tcW w:w="567" w:type="dxa"/>
            <w:tcBorders>
              <w:top w:val="single" w:color="auto" w:sz="12" w:space="0"/>
            </w:tcBorders>
            <w:vAlign w:val="center"/>
          </w:tcPr>
          <w:p w14:paraId="21F6F5F6">
            <w:pPr>
              <w:pStyle w:val="16"/>
              <w:tabs>
                <w:tab w:val="center" w:pos="4153"/>
                <w:tab w:val="right" w:pos="8306"/>
              </w:tabs>
              <w:jc w:val="center"/>
              <w:rPr>
                <w:szCs w:val="16"/>
                <w:highlight w:val="none"/>
              </w:rPr>
            </w:pPr>
            <w:r>
              <w:rPr>
                <w:rFonts w:hint="eastAsia"/>
                <w:szCs w:val="16"/>
                <w:highlight w:val="none"/>
              </w:rPr>
              <w:t>4</w:t>
            </w:r>
          </w:p>
        </w:tc>
        <w:tc>
          <w:tcPr>
            <w:tcW w:w="567" w:type="dxa"/>
            <w:tcBorders>
              <w:top w:val="single" w:color="auto" w:sz="12" w:space="0"/>
            </w:tcBorders>
            <w:vAlign w:val="center"/>
          </w:tcPr>
          <w:p w14:paraId="68CB2AA8">
            <w:pPr>
              <w:pStyle w:val="16"/>
              <w:tabs>
                <w:tab w:val="center" w:pos="4153"/>
                <w:tab w:val="right" w:pos="8306"/>
              </w:tabs>
              <w:jc w:val="center"/>
              <w:rPr>
                <w:szCs w:val="16"/>
                <w:highlight w:val="none"/>
              </w:rPr>
            </w:pPr>
            <w:r>
              <w:rPr>
                <w:rFonts w:hint="eastAsia"/>
                <w:szCs w:val="16"/>
                <w:highlight w:val="none"/>
              </w:rPr>
              <w:t>5</w:t>
            </w:r>
          </w:p>
        </w:tc>
        <w:tc>
          <w:tcPr>
            <w:tcW w:w="567" w:type="dxa"/>
            <w:tcBorders>
              <w:top w:val="single" w:color="auto" w:sz="12" w:space="0"/>
              <w:right w:val="single" w:color="auto" w:sz="12" w:space="0"/>
            </w:tcBorders>
            <w:vAlign w:val="center"/>
          </w:tcPr>
          <w:p w14:paraId="0D1350A1">
            <w:pPr>
              <w:pStyle w:val="16"/>
              <w:tabs>
                <w:tab w:val="center" w:pos="4153"/>
                <w:tab w:val="right" w:pos="8306"/>
              </w:tabs>
              <w:jc w:val="center"/>
              <w:rPr>
                <w:szCs w:val="16"/>
                <w:highlight w:val="none"/>
              </w:rPr>
            </w:pPr>
            <w:r>
              <w:rPr>
                <w:rFonts w:hint="eastAsia"/>
                <w:szCs w:val="16"/>
                <w:highlight w:val="none"/>
              </w:rPr>
              <w:t>6</w:t>
            </w:r>
          </w:p>
        </w:tc>
        <w:tc>
          <w:tcPr>
            <w:tcW w:w="699" w:type="dxa"/>
            <w:tcBorders>
              <w:top w:val="single" w:color="auto" w:sz="12" w:space="0"/>
              <w:right w:val="single" w:color="auto" w:sz="12" w:space="0"/>
            </w:tcBorders>
            <w:vAlign w:val="center"/>
          </w:tcPr>
          <w:p w14:paraId="2E5A1272">
            <w:pPr>
              <w:pStyle w:val="16"/>
              <w:tabs>
                <w:tab w:val="center" w:pos="4153"/>
                <w:tab w:val="right" w:pos="8306"/>
              </w:tabs>
              <w:ind w:firstLine="210" w:firstLineChars="100"/>
              <w:jc w:val="both"/>
              <w:rPr>
                <w:szCs w:val="16"/>
                <w:highlight w:val="none"/>
              </w:rPr>
            </w:pPr>
            <w:r>
              <w:rPr>
                <w:rFonts w:hint="eastAsia"/>
                <w:szCs w:val="16"/>
                <w:highlight w:val="none"/>
              </w:rPr>
              <w:t>7</w:t>
            </w:r>
          </w:p>
        </w:tc>
      </w:tr>
      <w:tr w14:paraId="1028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020713F3">
            <w:pPr>
              <w:pStyle w:val="17"/>
              <w:jc w:val="center"/>
            </w:pPr>
            <w:r>
              <w:rPr>
                <w:rFonts w:hint="eastAsia"/>
                <w:sz w:val="20"/>
                <w:szCs w:val="20"/>
              </w:rPr>
              <w:t>第一章</w:t>
            </w:r>
            <w:r>
              <w:rPr>
                <w:rFonts w:ascii="宋体" w:hAnsi="宋体" w:eastAsia="宋体"/>
                <w:sz w:val="20"/>
                <w:szCs w:val="20"/>
              </w:rPr>
              <w:t>概述</w:t>
            </w:r>
          </w:p>
        </w:tc>
        <w:tc>
          <w:tcPr>
            <w:tcW w:w="567" w:type="dxa"/>
            <w:vAlign w:val="center"/>
          </w:tcPr>
          <w:p w14:paraId="0B284CB0">
            <w:pPr>
              <w:pStyle w:val="17"/>
            </w:pPr>
            <w:r>
              <w:rPr>
                <w:rFonts w:hint="eastAsia"/>
              </w:rPr>
              <w:t>√</w:t>
            </w:r>
          </w:p>
        </w:tc>
        <w:tc>
          <w:tcPr>
            <w:tcW w:w="567" w:type="dxa"/>
            <w:vAlign w:val="center"/>
          </w:tcPr>
          <w:p w14:paraId="136F328E">
            <w:pPr>
              <w:pStyle w:val="17"/>
            </w:pPr>
            <w:r>
              <w:rPr>
                <w:rFonts w:hint="eastAsia"/>
              </w:rPr>
              <w:t>√</w:t>
            </w:r>
          </w:p>
        </w:tc>
        <w:tc>
          <w:tcPr>
            <w:tcW w:w="567" w:type="dxa"/>
            <w:vAlign w:val="center"/>
          </w:tcPr>
          <w:p w14:paraId="3E1AF4C2">
            <w:pPr>
              <w:pStyle w:val="17"/>
            </w:pPr>
            <w:r>
              <w:rPr>
                <w:rFonts w:hint="eastAsia"/>
              </w:rPr>
              <w:t>√</w:t>
            </w:r>
          </w:p>
        </w:tc>
        <w:tc>
          <w:tcPr>
            <w:tcW w:w="567" w:type="dxa"/>
            <w:vAlign w:val="center"/>
          </w:tcPr>
          <w:p w14:paraId="44782EC5">
            <w:pPr>
              <w:pStyle w:val="17"/>
            </w:pPr>
          </w:p>
        </w:tc>
        <w:tc>
          <w:tcPr>
            <w:tcW w:w="567" w:type="dxa"/>
            <w:vAlign w:val="center"/>
          </w:tcPr>
          <w:p w14:paraId="7CDD576F">
            <w:pPr>
              <w:pStyle w:val="17"/>
            </w:pPr>
          </w:p>
        </w:tc>
        <w:tc>
          <w:tcPr>
            <w:tcW w:w="567" w:type="dxa"/>
            <w:tcBorders>
              <w:right w:val="single" w:color="auto" w:sz="12" w:space="0"/>
            </w:tcBorders>
            <w:vAlign w:val="center"/>
          </w:tcPr>
          <w:p w14:paraId="4DB2066E">
            <w:pPr>
              <w:pStyle w:val="17"/>
            </w:pPr>
          </w:p>
        </w:tc>
        <w:tc>
          <w:tcPr>
            <w:tcW w:w="699" w:type="dxa"/>
            <w:tcBorders>
              <w:right w:val="single" w:color="auto" w:sz="12" w:space="0"/>
            </w:tcBorders>
            <w:vAlign w:val="center"/>
          </w:tcPr>
          <w:p w14:paraId="04FAD94F">
            <w:pPr>
              <w:pStyle w:val="17"/>
            </w:pPr>
            <w:r>
              <w:rPr>
                <w:rFonts w:hint="eastAsia"/>
              </w:rPr>
              <w:t>√</w:t>
            </w:r>
          </w:p>
        </w:tc>
      </w:tr>
      <w:tr w14:paraId="21FB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3184A1BB">
            <w:pPr>
              <w:pStyle w:val="17"/>
              <w:jc w:val="center"/>
            </w:pPr>
            <w:r>
              <w:rPr>
                <w:rFonts w:hint="eastAsia" w:ascii="宋体" w:hAnsi="宋体"/>
                <w:sz w:val="20"/>
                <w:szCs w:val="20"/>
              </w:rPr>
              <w:t>第二章</w:t>
            </w:r>
            <w:r>
              <w:rPr>
                <w:rFonts w:hint="eastAsia" w:ascii="宋体" w:hAnsi="宋体" w:eastAsia="宋体"/>
                <w:sz w:val="20"/>
                <w:szCs w:val="20"/>
              </w:rPr>
              <w:t>社区卫生服务体系与模式</w:t>
            </w:r>
          </w:p>
        </w:tc>
        <w:tc>
          <w:tcPr>
            <w:tcW w:w="567" w:type="dxa"/>
            <w:vAlign w:val="center"/>
          </w:tcPr>
          <w:p w14:paraId="6FFC7886">
            <w:pPr>
              <w:pStyle w:val="17"/>
            </w:pPr>
            <w:r>
              <w:rPr>
                <w:rFonts w:hint="eastAsia"/>
              </w:rPr>
              <w:t>√</w:t>
            </w:r>
          </w:p>
        </w:tc>
        <w:tc>
          <w:tcPr>
            <w:tcW w:w="567" w:type="dxa"/>
            <w:vAlign w:val="center"/>
          </w:tcPr>
          <w:p w14:paraId="5502D920">
            <w:pPr>
              <w:pStyle w:val="17"/>
            </w:pPr>
          </w:p>
        </w:tc>
        <w:tc>
          <w:tcPr>
            <w:tcW w:w="567" w:type="dxa"/>
            <w:vAlign w:val="center"/>
          </w:tcPr>
          <w:p w14:paraId="06368541">
            <w:pPr>
              <w:pStyle w:val="17"/>
            </w:pPr>
            <w:r>
              <w:rPr>
                <w:rFonts w:hint="eastAsia"/>
              </w:rPr>
              <w:t>√</w:t>
            </w:r>
          </w:p>
        </w:tc>
        <w:tc>
          <w:tcPr>
            <w:tcW w:w="567" w:type="dxa"/>
            <w:vAlign w:val="center"/>
          </w:tcPr>
          <w:p w14:paraId="5E92F7DE">
            <w:pPr>
              <w:pStyle w:val="17"/>
            </w:pPr>
          </w:p>
        </w:tc>
        <w:tc>
          <w:tcPr>
            <w:tcW w:w="567" w:type="dxa"/>
            <w:vAlign w:val="center"/>
          </w:tcPr>
          <w:p w14:paraId="38EAD770">
            <w:pPr>
              <w:pStyle w:val="17"/>
            </w:pPr>
          </w:p>
        </w:tc>
        <w:tc>
          <w:tcPr>
            <w:tcW w:w="567" w:type="dxa"/>
            <w:tcBorders>
              <w:right w:val="single" w:color="auto" w:sz="12" w:space="0"/>
            </w:tcBorders>
            <w:vAlign w:val="center"/>
          </w:tcPr>
          <w:p w14:paraId="5C852C02">
            <w:pPr>
              <w:pStyle w:val="17"/>
            </w:pPr>
          </w:p>
        </w:tc>
        <w:tc>
          <w:tcPr>
            <w:tcW w:w="699" w:type="dxa"/>
            <w:tcBorders>
              <w:right w:val="single" w:color="auto" w:sz="12" w:space="0"/>
            </w:tcBorders>
            <w:vAlign w:val="center"/>
          </w:tcPr>
          <w:p w14:paraId="12A04DF3">
            <w:pPr>
              <w:pStyle w:val="17"/>
            </w:pPr>
          </w:p>
        </w:tc>
      </w:tr>
      <w:tr w14:paraId="3039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72A94F0C">
            <w:pPr>
              <w:pStyle w:val="17"/>
              <w:jc w:val="center"/>
              <w:rPr>
                <w:rFonts w:ascii="宋体" w:hAnsi="宋体"/>
                <w:sz w:val="20"/>
                <w:szCs w:val="20"/>
              </w:rPr>
            </w:pPr>
            <w:r>
              <w:rPr>
                <w:rFonts w:hint="eastAsia" w:ascii="宋体" w:hAnsi="宋体"/>
                <w:sz w:val="20"/>
                <w:szCs w:val="20"/>
              </w:rPr>
              <w:t>第三章</w:t>
            </w:r>
            <w:r>
              <w:rPr>
                <w:rFonts w:hint="eastAsia" w:ascii="宋体" w:hAnsi="宋体" w:eastAsia="宋体"/>
                <w:sz w:val="20"/>
                <w:szCs w:val="20"/>
              </w:rPr>
              <w:t>社区健</w:t>
            </w:r>
            <w:r>
              <w:rPr>
                <w:rFonts w:hint="eastAsia" w:ascii="宋体" w:hAnsi="宋体"/>
                <w:sz w:val="20"/>
                <w:szCs w:val="20"/>
                <w:lang w:val="en-US" w:eastAsia="zh-CN"/>
              </w:rPr>
              <w:t>康</w:t>
            </w:r>
            <w:r>
              <w:rPr>
                <w:rFonts w:hint="eastAsia" w:ascii="宋体" w:hAnsi="宋体" w:eastAsia="宋体"/>
                <w:sz w:val="20"/>
                <w:szCs w:val="20"/>
              </w:rPr>
              <w:t>管理</w:t>
            </w:r>
          </w:p>
        </w:tc>
        <w:tc>
          <w:tcPr>
            <w:tcW w:w="567" w:type="dxa"/>
            <w:vAlign w:val="center"/>
          </w:tcPr>
          <w:p w14:paraId="27ADFFD2">
            <w:pPr>
              <w:pStyle w:val="17"/>
            </w:pPr>
            <w:r>
              <w:rPr>
                <w:rFonts w:hint="eastAsia"/>
              </w:rPr>
              <w:t>√</w:t>
            </w:r>
          </w:p>
        </w:tc>
        <w:tc>
          <w:tcPr>
            <w:tcW w:w="567" w:type="dxa"/>
            <w:vAlign w:val="center"/>
          </w:tcPr>
          <w:p w14:paraId="20DDD7B4">
            <w:pPr>
              <w:pStyle w:val="17"/>
            </w:pPr>
            <w:r>
              <w:rPr>
                <w:rFonts w:hint="eastAsia"/>
              </w:rPr>
              <w:t>√</w:t>
            </w:r>
          </w:p>
        </w:tc>
        <w:tc>
          <w:tcPr>
            <w:tcW w:w="567" w:type="dxa"/>
            <w:vAlign w:val="center"/>
          </w:tcPr>
          <w:p w14:paraId="2FD27B30">
            <w:pPr>
              <w:pStyle w:val="17"/>
            </w:pPr>
            <w:r>
              <w:rPr>
                <w:rFonts w:hint="eastAsia"/>
              </w:rPr>
              <w:t>√</w:t>
            </w:r>
          </w:p>
        </w:tc>
        <w:tc>
          <w:tcPr>
            <w:tcW w:w="567" w:type="dxa"/>
            <w:vAlign w:val="center"/>
          </w:tcPr>
          <w:p w14:paraId="65642680">
            <w:pPr>
              <w:pStyle w:val="17"/>
              <w:jc w:val="both"/>
            </w:pPr>
            <w:r>
              <w:rPr>
                <w:rFonts w:hint="eastAsia"/>
              </w:rPr>
              <w:t>√</w:t>
            </w:r>
          </w:p>
        </w:tc>
        <w:tc>
          <w:tcPr>
            <w:tcW w:w="567" w:type="dxa"/>
            <w:vAlign w:val="center"/>
          </w:tcPr>
          <w:p w14:paraId="26306480">
            <w:pPr>
              <w:pStyle w:val="17"/>
            </w:pPr>
          </w:p>
        </w:tc>
        <w:tc>
          <w:tcPr>
            <w:tcW w:w="567" w:type="dxa"/>
            <w:tcBorders>
              <w:right w:val="single" w:color="auto" w:sz="12" w:space="0"/>
            </w:tcBorders>
            <w:vAlign w:val="center"/>
          </w:tcPr>
          <w:p w14:paraId="2EFF6798">
            <w:pPr>
              <w:pStyle w:val="17"/>
            </w:pPr>
          </w:p>
        </w:tc>
        <w:tc>
          <w:tcPr>
            <w:tcW w:w="699" w:type="dxa"/>
            <w:tcBorders>
              <w:right w:val="single" w:color="auto" w:sz="12" w:space="0"/>
            </w:tcBorders>
            <w:vAlign w:val="center"/>
          </w:tcPr>
          <w:p w14:paraId="0F4D5EB4">
            <w:pPr>
              <w:pStyle w:val="17"/>
            </w:pPr>
          </w:p>
        </w:tc>
      </w:tr>
      <w:tr w14:paraId="29C9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111F4C40">
            <w:pPr>
              <w:jc w:val="center"/>
              <w:rPr>
                <w:sz w:val="20"/>
                <w:szCs w:val="20"/>
              </w:rPr>
            </w:pPr>
            <w:r>
              <w:rPr>
                <w:rFonts w:hint="eastAsia"/>
                <w:sz w:val="20"/>
                <w:szCs w:val="20"/>
              </w:rPr>
              <w:t>第四章</w:t>
            </w:r>
            <w:r>
              <w:rPr>
                <w:rFonts w:hint="eastAsia" w:ascii="宋体" w:hAnsi="宋体" w:eastAsia="宋体"/>
                <w:sz w:val="20"/>
                <w:szCs w:val="20"/>
              </w:rPr>
              <w:t>社区健康相关行为管理</w:t>
            </w:r>
          </w:p>
        </w:tc>
        <w:tc>
          <w:tcPr>
            <w:tcW w:w="567" w:type="dxa"/>
            <w:vAlign w:val="center"/>
          </w:tcPr>
          <w:p w14:paraId="3068F29B">
            <w:pPr>
              <w:pStyle w:val="17"/>
            </w:pPr>
            <w:r>
              <w:rPr>
                <w:rFonts w:hint="eastAsia"/>
              </w:rPr>
              <w:t>√</w:t>
            </w:r>
          </w:p>
        </w:tc>
        <w:tc>
          <w:tcPr>
            <w:tcW w:w="567" w:type="dxa"/>
            <w:vAlign w:val="center"/>
          </w:tcPr>
          <w:p w14:paraId="052AB840">
            <w:pPr>
              <w:pStyle w:val="17"/>
            </w:pPr>
          </w:p>
        </w:tc>
        <w:tc>
          <w:tcPr>
            <w:tcW w:w="567" w:type="dxa"/>
            <w:vAlign w:val="center"/>
          </w:tcPr>
          <w:p w14:paraId="17A13D1E">
            <w:pPr>
              <w:pStyle w:val="17"/>
            </w:pPr>
            <w:r>
              <w:rPr>
                <w:rFonts w:hint="eastAsia"/>
              </w:rPr>
              <w:t>√</w:t>
            </w:r>
          </w:p>
        </w:tc>
        <w:tc>
          <w:tcPr>
            <w:tcW w:w="567" w:type="dxa"/>
            <w:vAlign w:val="center"/>
          </w:tcPr>
          <w:p w14:paraId="70C295F1">
            <w:pPr>
              <w:pStyle w:val="17"/>
            </w:pPr>
            <w:r>
              <w:rPr>
                <w:rFonts w:hint="eastAsia"/>
              </w:rPr>
              <w:t>√</w:t>
            </w:r>
          </w:p>
        </w:tc>
        <w:tc>
          <w:tcPr>
            <w:tcW w:w="567" w:type="dxa"/>
            <w:vAlign w:val="center"/>
          </w:tcPr>
          <w:p w14:paraId="54BC0293">
            <w:pPr>
              <w:pStyle w:val="17"/>
            </w:pPr>
          </w:p>
        </w:tc>
        <w:tc>
          <w:tcPr>
            <w:tcW w:w="567" w:type="dxa"/>
            <w:tcBorders>
              <w:right w:val="single" w:color="auto" w:sz="12" w:space="0"/>
            </w:tcBorders>
            <w:vAlign w:val="center"/>
          </w:tcPr>
          <w:p w14:paraId="6E27C69B">
            <w:pPr>
              <w:pStyle w:val="17"/>
            </w:pPr>
          </w:p>
        </w:tc>
        <w:tc>
          <w:tcPr>
            <w:tcW w:w="699" w:type="dxa"/>
            <w:tcBorders>
              <w:right w:val="single" w:color="auto" w:sz="12" w:space="0"/>
            </w:tcBorders>
            <w:vAlign w:val="center"/>
          </w:tcPr>
          <w:p w14:paraId="42267790">
            <w:pPr>
              <w:pStyle w:val="17"/>
            </w:pPr>
          </w:p>
        </w:tc>
      </w:tr>
      <w:tr w14:paraId="02B4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07AEFD02">
            <w:pPr>
              <w:jc w:val="center"/>
              <w:rPr>
                <w:sz w:val="20"/>
                <w:szCs w:val="20"/>
              </w:rPr>
            </w:pPr>
            <w:r>
              <w:rPr>
                <w:rFonts w:hint="eastAsia"/>
                <w:sz w:val="20"/>
                <w:szCs w:val="20"/>
              </w:rPr>
              <w:t>第五章</w:t>
            </w:r>
            <w:r>
              <w:rPr>
                <w:rFonts w:hint="eastAsia" w:ascii="宋体" w:hAnsi="宋体" w:eastAsia="宋体"/>
                <w:sz w:val="20"/>
                <w:szCs w:val="20"/>
              </w:rPr>
              <w:t>社区健康教育与健康促进</w:t>
            </w:r>
            <w:r>
              <w:rPr>
                <w:rFonts w:hint="eastAsia"/>
                <w:color w:val="000000"/>
                <w:sz w:val="20"/>
                <w:szCs w:val="20"/>
              </w:rPr>
              <w:t>护理</w:t>
            </w:r>
          </w:p>
        </w:tc>
        <w:tc>
          <w:tcPr>
            <w:tcW w:w="567" w:type="dxa"/>
            <w:vAlign w:val="center"/>
          </w:tcPr>
          <w:p w14:paraId="152A1B12">
            <w:pPr>
              <w:pStyle w:val="17"/>
            </w:pPr>
            <w:r>
              <w:rPr>
                <w:rFonts w:hint="eastAsia"/>
              </w:rPr>
              <w:t>√</w:t>
            </w:r>
          </w:p>
        </w:tc>
        <w:tc>
          <w:tcPr>
            <w:tcW w:w="567" w:type="dxa"/>
            <w:vAlign w:val="center"/>
          </w:tcPr>
          <w:p w14:paraId="213EC1E7">
            <w:pPr>
              <w:pStyle w:val="17"/>
            </w:pPr>
          </w:p>
        </w:tc>
        <w:tc>
          <w:tcPr>
            <w:tcW w:w="567" w:type="dxa"/>
            <w:vAlign w:val="center"/>
          </w:tcPr>
          <w:p w14:paraId="78DB4FC7">
            <w:pPr>
              <w:pStyle w:val="17"/>
            </w:pPr>
            <w:r>
              <w:rPr>
                <w:rFonts w:hint="eastAsia"/>
              </w:rPr>
              <w:t>√</w:t>
            </w:r>
          </w:p>
        </w:tc>
        <w:tc>
          <w:tcPr>
            <w:tcW w:w="567" w:type="dxa"/>
            <w:vAlign w:val="center"/>
          </w:tcPr>
          <w:p w14:paraId="3B0F7EAE">
            <w:pPr>
              <w:pStyle w:val="17"/>
            </w:pPr>
          </w:p>
        </w:tc>
        <w:tc>
          <w:tcPr>
            <w:tcW w:w="567" w:type="dxa"/>
            <w:vAlign w:val="center"/>
          </w:tcPr>
          <w:p w14:paraId="4967ADAF">
            <w:pPr>
              <w:pStyle w:val="17"/>
            </w:pPr>
          </w:p>
        </w:tc>
        <w:tc>
          <w:tcPr>
            <w:tcW w:w="567" w:type="dxa"/>
            <w:tcBorders>
              <w:right w:val="single" w:color="auto" w:sz="12" w:space="0"/>
            </w:tcBorders>
            <w:vAlign w:val="center"/>
          </w:tcPr>
          <w:p w14:paraId="2EABF9E0">
            <w:pPr>
              <w:pStyle w:val="17"/>
            </w:pPr>
          </w:p>
        </w:tc>
        <w:tc>
          <w:tcPr>
            <w:tcW w:w="699" w:type="dxa"/>
            <w:tcBorders>
              <w:right w:val="single" w:color="auto" w:sz="12" w:space="0"/>
            </w:tcBorders>
            <w:vAlign w:val="center"/>
          </w:tcPr>
          <w:p w14:paraId="427F43EC">
            <w:pPr>
              <w:pStyle w:val="17"/>
            </w:pPr>
          </w:p>
        </w:tc>
      </w:tr>
      <w:tr w14:paraId="343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465F36CB">
            <w:pPr>
              <w:jc w:val="center"/>
              <w:rPr>
                <w:sz w:val="20"/>
                <w:szCs w:val="20"/>
              </w:rPr>
            </w:pPr>
            <w:r>
              <w:rPr>
                <w:rFonts w:hint="eastAsia"/>
                <w:sz w:val="20"/>
                <w:szCs w:val="20"/>
              </w:rPr>
              <w:t>第六章</w:t>
            </w:r>
            <w:r>
              <w:rPr>
                <w:rFonts w:hint="eastAsia" w:ascii="宋体" w:hAnsi="宋体" w:eastAsia="宋体"/>
                <w:sz w:val="20"/>
                <w:szCs w:val="20"/>
              </w:rPr>
              <w:t>社区家庭健康管理</w:t>
            </w:r>
          </w:p>
        </w:tc>
        <w:tc>
          <w:tcPr>
            <w:tcW w:w="567" w:type="dxa"/>
            <w:vAlign w:val="center"/>
          </w:tcPr>
          <w:p w14:paraId="3CF6D75B">
            <w:pPr>
              <w:pStyle w:val="17"/>
            </w:pPr>
            <w:r>
              <w:rPr>
                <w:rFonts w:hint="eastAsia"/>
              </w:rPr>
              <w:t>√</w:t>
            </w:r>
          </w:p>
        </w:tc>
        <w:tc>
          <w:tcPr>
            <w:tcW w:w="567" w:type="dxa"/>
            <w:vAlign w:val="center"/>
          </w:tcPr>
          <w:p w14:paraId="3BE881BB">
            <w:pPr>
              <w:pStyle w:val="17"/>
            </w:pPr>
          </w:p>
        </w:tc>
        <w:tc>
          <w:tcPr>
            <w:tcW w:w="567" w:type="dxa"/>
            <w:vAlign w:val="center"/>
          </w:tcPr>
          <w:p w14:paraId="523D65A0">
            <w:pPr>
              <w:pStyle w:val="17"/>
            </w:pPr>
            <w:r>
              <w:rPr>
                <w:rFonts w:hint="eastAsia"/>
              </w:rPr>
              <w:t>√</w:t>
            </w:r>
          </w:p>
        </w:tc>
        <w:tc>
          <w:tcPr>
            <w:tcW w:w="567" w:type="dxa"/>
            <w:vAlign w:val="center"/>
          </w:tcPr>
          <w:p w14:paraId="2F079F3C">
            <w:pPr>
              <w:pStyle w:val="17"/>
            </w:pPr>
            <w:r>
              <w:rPr>
                <w:rFonts w:hint="eastAsia"/>
              </w:rPr>
              <w:t>√</w:t>
            </w:r>
          </w:p>
        </w:tc>
        <w:tc>
          <w:tcPr>
            <w:tcW w:w="567" w:type="dxa"/>
            <w:vAlign w:val="center"/>
          </w:tcPr>
          <w:p w14:paraId="22BB0C67">
            <w:pPr>
              <w:pStyle w:val="17"/>
            </w:pPr>
          </w:p>
        </w:tc>
        <w:tc>
          <w:tcPr>
            <w:tcW w:w="567" w:type="dxa"/>
            <w:tcBorders>
              <w:right w:val="single" w:color="auto" w:sz="12" w:space="0"/>
            </w:tcBorders>
            <w:vAlign w:val="center"/>
          </w:tcPr>
          <w:p w14:paraId="60F5A021">
            <w:pPr>
              <w:pStyle w:val="17"/>
            </w:pPr>
          </w:p>
        </w:tc>
        <w:tc>
          <w:tcPr>
            <w:tcW w:w="699" w:type="dxa"/>
            <w:tcBorders>
              <w:right w:val="single" w:color="auto" w:sz="12" w:space="0"/>
            </w:tcBorders>
            <w:vAlign w:val="center"/>
          </w:tcPr>
          <w:p w14:paraId="76E1FD8A">
            <w:pPr>
              <w:pStyle w:val="17"/>
            </w:pPr>
          </w:p>
        </w:tc>
      </w:tr>
      <w:tr w14:paraId="0AC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3A57279A">
            <w:pPr>
              <w:jc w:val="center"/>
              <w:rPr>
                <w:sz w:val="20"/>
                <w:szCs w:val="20"/>
              </w:rPr>
            </w:pPr>
            <w:r>
              <w:rPr>
                <w:rFonts w:hint="eastAsia"/>
                <w:color w:val="000000"/>
                <w:sz w:val="20"/>
                <w:szCs w:val="20"/>
              </w:rPr>
              <w:t>第七章</w:t>
            </w:r>
            <w:r>
              <w:rPr>
                <w:rFonts w:hint="eastAsia" w:ascii="宋体" w:hAnsi="宋体" w:eastAsia="宋体"/>
                <w:sz w:val="20"/>
                <w:szCs w:val="20"/>
              </w:rPr>
              <w:t>社区儿童和青少年保健</w:t>
            </w:r>
          </w:p>
        </w:tc>
        <w:tc>
          <w:tcPr>
            <w:tcW w:w="567" w:type="dxa"/>
            <w:vAlign w:val="center"/>
          </w:tcPr>
          <w:p w14:paraId="01BE107A">
            <w:pPr>
              <w:pStyle w:val="17"/>
            </w:pPr>
            <w:r>
              <w:rPr>
                <w:rFonts w:hint="eastAsia"/>
              </w:rPr>
              <w:t>√</w:t>
            </w:r>
          </w:p>
        </w:tc>
        <w:tc>
          <w:tcPr>
            <w:tcW w:w="567" w:type="dxa"/>
            <w:vAlign w:val="center"/>
          </w:tcPr>
          <w:p w14:paraId="4992D7D4">
            <w:pPr>
              <w:pStyle w:val="17"/>
            </w:pPr>
          </w:p>
        </w:tc>
        <w:tc>
          <w:tcPr>
            <w:tcW w:w="567" w:type="dxa"/>
            <w:vAlign w:val="center"/>
          </w:tcPr>
          <w:p w14:paraId="3E54E45C">
            <w:pPr>
              <w:pStyle w:val="17"/>
            </w:pPr>
            <w:r>
              <w:rPr>
                <w:rFonts w:hint="eastAsia"/>
              </w:rPr>
              <w:t>√</w:t>
            </w:r>
          </w:p>
        </w:tc>
        <w:tc>
          <w:tcPr>
            <w:tcW w:w="567" w:type="dxa"/>
            <w:vAlign w:val="center"/>
          </w:tcPr>
          <w:p w14:paraId="61C5AB27">
            <w:pPr>
              <w:pStyle w:val="17"/>
            </w:pPr>
            <w:r>
              <w:rPr>
                <w:rFonts w:hint="eastAsia"/>
              </w:rPr>
              <w:t>√</w:t>
            </w:r>
          </w:p>
        </w:tc>
        <w:tc>
          <w:tcPr>
            <w:tcW w:w="567" w:type="dxa"/>
            <w:vAlign w:val="center"/>
          </w:tcPr>
          <w:p w14:paraId="6681549E">
            <w:pPr>
              <w:pStyle w:val="17"/>
            </w:pPr>
            <w:r>
              <w:rPr>
                <w:rFonts w:hint="eastAsia"/>
              </w:rPr>
              <w:t>√</w:t>
            </w:r>
          </w:p>
        </w:tc>
        <w:tc>
          <w:tcPr>
            <w:tcW w:w="567" w:type="dxa"/>
            <w:tcBorders>
              <w:right w:val="single" w:color="auto" w:sz="12" w:space="0"/>
            </w:tcBorders>
            <w:vAlign w:val="center"/>
          </w:tcPr>
          <w:p w14:paraId="5C5D72AB">
            <w:pPr>
              <w:pStyle w:val="17"/>
            </w:pPr>
          </w:p>
        </w:tc>
        <w:tc>
          <w:tcPr>
            <w:tcW w:w="699" w:type="dxa"/>
            <w:tcBorders>
              <w:right w:val="single" w:color="auto" w:sz="12" w:space="0"/>
            </w:tcBorders>
            <w:vAlign w:val="center"/>
          </w:tcPr>
          <w:p w14:paraId="28CAFE76">
            <w:pPr>
              <w:pStyle w:val="17"/>
            </w:pPr>
          </w:p>
        </w:tc>
      </w:tr>
      <w:tr w14:paraId="20F8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48BE78BF">
            <w:pPr>
              <w:jc w:val="center"/>
              <w:rPr>
                <w:color w:val="000000"/>
                <w:sz w:val="20"/>
                <w:szCs w:val="20"/>
              </w:rPr>
            </w:pPr>
            <w:r>
              <w:rPr>
                <w:rFonts w:hint="eastAsia"/>
                <w:color w:val="000000"/>
                <w:sz w:val="20"/>
                <w:szCs w:val="20"/>
              </w:rPr>
              <w:t>第八章</w:t>
            </w:r>
            <w:r>
              <w:rPr>
                <w:rFonts w:hint="eastAsia" w:ascii="宋体" w:hAnsi="宋体" w:eastAsia="宋体"/>
                <w:sz w:val="20"/>
                <w:szCs w:val="20"/>
              </w:rPr>
              <w:t>社区妇女保健</w:t>
            </w:r>
          </w:p>
        </w:tc>
        <w:tc>
          <w:tcPr>
            <w:tcW w:w="567" w:type="dxa"/>
            <w:vAlign w:val="center"/>
          </w:tcPr>
          <w:p w14:paraId="44E6E722">
            <w:pPr>
              <w:pStyle w:val="17"/>
            </w:pPr>
            <w:r>
              <w:rPr>
                <w:rFonts w:hint="eastAsia"/>
              </w:rPr>
              <w:t>√</w:t>
            </w:r>
          </w:p>
        </w:tc>
        <w:tc>
          <w:tcPr>
            <w:tcW w:w="567" w:type="dxa"/>
            <w:vAlign w:val="center"/>
          </w:tcPr>
          <w:p w14:paraId="0B2E4676">
            <w:pPr>
              <w:pStyle w:val="17"/>
            </w:pPr>
          </w:p>
        </w:tc>
        <w:tc>
          <w:tcPr>
            <w:tcW w:w="567" w:type="dxa"/>
            <w:vAlign w:val="center"/>
          </w:tcPr>
          <w:p w14:paraId="4C7407FD">
            <w:pPr>
              <w:pStyle w:val="17"/>
            </w:pPr>
            <w:r>
              <w:rPr>
                <w:rFonts w:hint="eastAsia"/>
              </w:rPr>
              <w:t>√</w:t>
            </w:r>
          </w:p>
        </w:tc>
        <w:tc>
          <w:tcPr>
            <w:tcW w:w="567" w:type="dxa"/>
            <w:vAlign w:val="center"/>
          </w:tcPr>
          <w:p w14:paraId="28FFABBF">
            <w:pPr>
              <w:pStyle w:val="17"/>
            </w:pPr>
          </w:p>
        </w:tc>
        <w:tc>
          <w:tcPr>
            <w:tcW w:w="567" w:type="dxa"/>
            <w:vAlign w:val="center"/>
          </w:tcPr>
          <w:p w14:paraId="549C5A3F">
            <w:pPr>
              <w:pStyle w:val="17"/>
            </w:pPr>
            <w:r>
              <w:rPr>
                <w:rFonts w:hint="eastAsia"/>
              </w:rPr>
              <w:t>√</w:t>
            </w:r>
          </w:p>
        </w:tc>
        <w:tc>
          <w:tcPr>
            <w:tcW w:w="567" w:type="dxa"/>
            <w:tcBorders>
              <w:right w:val="single" w:color="auto" w:sz="12" w:space="0"/>
            </w:tcBorders>
            <w:vAlign w:val="center"/>
          </w:tcPr>
          <w:p w14:paraId="660353FC">
            <w:pPr>
              <w:pStyle w:val="17"/>
            </w:pPr>
            <w:r>
              <w:rPr>
                <w:rFonts w:hint="eastAsia"/>
              </w:rPr>
              <w:t>√</w:t>
            </w:r>
          </w:p>
        </w:tc>
        <w:tc>
          <w:tcPr>
            <w:tcW w:w="699" w:type="dxa"/>
            <w:tcBorders>
              <w:right w:val="single" w:color="auto" w:sz="12" w:space="0"/>
            </w:tcBorders>
            <w:vAlign w:val="center"/>
          </w:tcPr>
          <w:p w14:paraId="2D419910">
            <w:pPr>
              <w:pStyle w:val="17"/>
            </w:pPr>
          </w:p>
        </w:tc>
      </w:tr>
      <w:tr w14:paraId="6D09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3FB06EE2">
            <w:pPr>
              <w:jc w:val="center"/>
              <w:rPr>
                <w:rFonts w:hint="default" w:eastAsia="宋体"/>
                <w:color w:val="000000"/>
                <w:sz w:val="20"/>
                <w:szCs w:val="20"/>
                <w:lang w:val="en-US" w:eastAsia="zh-CN"/>
              </w:rPr>
            </w:pPr>
            <w:r>
              <w:rPr>
                <w:rFonts w:hint="eastAsia"/>
                <w:color w:val="000000"/>
                <w:sz w:val="20"/>
                <w:szCs w:val="20"/>
                <w:lang w:val="en-US" w:eastAsia="zh-CN"/>
              </w:rPr>
              <w:t>第九章</w:t>
            </w:r>
            <w:r>
              <w:rPr>
                <w:rFonts w:hint="eastAsia" w:ascii="宋体" w:hAnsi="宋体" w:eastAsia="宋体"/>
                <w:sz w:val="20"/>
                <w:szCs w:val="20"/>
              </w:rPr>
              <w:t>社区老年人群护理</w:t>
            </w:r>
          </w:p>
        </w:tc>
        <w:tc>
          <w:tcPr>
            <w:tcW w:w="567" w:type="dxa"/>
            <w:vAlign w:val="center"/>
          </w:tcPr>
          <w:p w14:paraId="6544DDC4">
            <w:pPr>
              <w:pStyle w:val="17"/>
              <w:rPr>
                <w:rFonts w:hint="eastAsia"/>
              </w:rPr>
            </w:pPr>
            <w:r>
              <w:rPr>
                <w:rFonts w:hint="eastAsia"/>
              </w:rPr>
              <w:t>√</w:t>
            </w:r>
          </w:p>
        </w:tc>
        <w:tc>
          <w:tcPr>
            <w:tcW w:w="567" w:type="dxa"/>
            <w:vAlign w:val="center"/>
          </w:tcPr>
          <w:p w14:paraId="34C3AD11">
            <w:pPr>
              <w:pStyle w:val="17"/>
            </w:pPr>
          </w:p>
        </w:tc>
        <w:tc>
          <w:tcPr>
            <w:tcW w:w="567" w:type="dxa"/>
            <w:vAlign w:val="center"/>
          </w:tcPr>
          <w:p w14:paraId="412BCF5D">
            <w:pPr>
              <w:pStyle w:val="17"/>
            </w:pPr>
            <w:r>
              <w:rPr>
                <w:rFonts w:hint="eastAsia"/>
              </w:rPr>
              <w:t>√</w:t>
            </w:r>
          </w:p>
        </w:tc>
        <w:tc>
          <w:tcPr>
            <w:tcW w:w="567" w:type="dxa"/>
            <w:vAlign w:val="center"/>
          </w:tcPr>
          <w:p w14:paraId="39738278">
            <w:pPr>
              <w:pStyle w:val="17"/>
            </w:pPr>
          </w:p>
        </w:tc>
        <w:tc>
          <w:tcPr>
            <w:tcW w:w="567" w:type="dxa"/>
            <w:vAlign w:val="center"/>
          </w:tcPr>
          <w:p w14:paraId="11164ABC">
            <w:pPr>
              <w:pStyle w:val="17"/>
            </w:pPr>
            <w:r>
              <w:rPr>
                <w:rFonts w:hint="eastAsia"/>
              </w:rPr>
              <w:t>√</w:t>
            </w:r>
          </w:p>
        </w:tc>
        <w:tc>
          <w:tcPr>
            <w:tcW w:w="567" w:type="dxa"/>
            <w:tcBorders>
              <w:right w:val="single" w:color="auto" w:sz="12" w:space="0"/>
            </w:tcBorders>
            <w:vAlign w:val="center"/>
          </w:tcPr>
          <w:p w14:paraId="1223D352">
            <w:pPr>
              <w:pStyle w:val="17"/>
              <w:rPr>
                <w:rFonts w:hint="eastAsia"/>
              </w:rPr>
            </w:pPr>
          </w:p>
        </w:tc>
        <w:tc>
          <w:tcPr>
            <w:tcW w:w="699" w:type="dxa"/>
            <w:tcBorders>
              <w:right w:val="single" w:color="auto" w:sz="12" w:space="0"/>
            </w:tcBorders>
            <w:vAlign w:val="center"/>
          </w:tcPr>
          <w:p w14:paraId="741DD7F0">
            <w:pPr>
              <w:pStyle w:val="17"/>
            </w:pPr>
          </w:p>
        </w:tc>
      </w:tr>
      <w:tr w14:paraId="662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0D53457E">
            <w:pPr>
              <w:jc w:val="center"/>
              <w:rPr>
                <w:rFonts w:hint="default" w:eastAsia="宋体"/>
                <w:color w:val="000000"/>
                <w:sz w:val="20"/>
                <w:szCs w:val="20"/>
                <w:lang w:val="en-US" w:eastAsia="zh-CN"/>
              </w:rPr>
            </w:pPr>
            <w:r>
              <w:rPr>
                <w:rFonts w:hint="eastAsia"/>
                <w:color w:val="000000"/>
                <w:sz w:val="20"/>
                <w:szCs w:val="20"/>
                <w:lang w:val="en-US" w:eastAsia="zh-CN"/>
              </w:rPr>
              <w:t>第十章</w:t>
            </w:r>
            <w:r>
              <w:rPr>
                <w:rFonts w:hint="eastAsia" w:ascii="宋体" w:hAnsi="宋体" w:eastAsia="宋体"/>
                <w:sz w:val="20"/>
                <w:szCs w:val="20"/>
              </w:rPr>
              <w:t>社区慢性病病人的护理与管理</w:t>
            </w:r>
          </w:p>
        </w:tc>
        <w:tc>
          <w:tcPr>
            <w:tcW w:w="567" w:type="dxa"/>
            <w:vAlign w:val="center"/>
          </w:tcPr>
          <w:p w14:paraId="324753B8">
            <w:pPr>
              <w:pStyle w:val="17"/>
              <w:rPr>
                <w:rFonts w:hint="eastAsia"/>
              </w:rPr>
            </w:pPr>
            <w:r>
              <w:rPr>
                <w:rFonts w:hint="eastAsia"/>
              </w:rPr>
              <w:t>√</w:t>
            </w:r>
          </w:p>
        </w:tc>
        <w:tc>
          <w:tcPr>
            <w:tcW w:w="567" w:type="dxa"/>
            <w:vAlign w:val="center"/>
          </w:tcPr>
          <w:p w14:paraId="0F27F825">
            <w:pPr>
              <w:pStyle w:val="17"/>
            </w:pPr>
            <w:r>
              <w:rPr>
                <w:rFonts w:hint="eastAsia"/>
              </w:rPr>
              <w:t>√</w:t>
            </w:r>
          </w:p>
        </w:tc>
        <w:tc>
          <w:tcPr>
            <w:tcW w:w="567" w:type="dxa"/>
            <w:vAlign w:val="center"/>
          </w:tcPr>
          <w:p w14:paraId="41ADCFA0">
            <w:pPr>
              <w:pStyle w:val="17"/>
            </w:pPr>
            <w:r>
              <w:rPr>
                <w:rFonts w:hint="eastAsia"/>
              </w:rPr>
              <w:t>√</w:t>
            </w:r>
          </w:p>
        </w:tc>
        <w:tc>
          <w:tcPr>
            <w:tcW w:w="567" w:type="dxa"/>
            <w:vAlign w:val="center"/>
          </w:tcPr>
          <w:p w14:paraId="18653782">
            <w:pPr>
              <w:pStyle w:val="17"/>
            </w:pPr>
          </w:p>
        </w:tc>
        <w:tc>
          <w:tcPr>
            <w:tcW w:w="567" w:type="dxa"/>
            <w:vAlign w:val="center"/>
          </w:tcPr>
          <w:p w14:paraId="51837F5E">
            <w:pPr>
              <w:pStyle w:val="17"/>
            </w:pPr>
            <w:r>
              <w:rPr>
                <w:rFonts w:hint="eastAsia"/>
              </w:rPr>
              <w:t>√</w:t>
            </w:r>
          </w:p>
        </w:tc>
        <w:tc>
          <w:tcPr>
            <w:tcW w:w="567" w:type="dxa"/>
            <w:tcBorders>
              <w:right w:val="single" w:color="auto" w:sz="12" w:space="0"/>
            </w:tcBorders>
            <w:vAlign w:val="center"/>
          </w:tcPr>
          <w:p w14:paraId="7E5E4023">
            <w:pPr>
              <w:pStyle w:val="17"/>
              <w:rPr>
                <w:rFonts w:hint="eastAsia"/>
              </w:rPr>
            </w:pPr>
          </w:p>
        </w:tc>
        <w:tc>
          <w:tcPr>
            <w:tcW w:w="699" w:type="dxa"/>
            <w:tcBorders>
              <w:right w:val="single" w:color="auto" w:sz="12" w:space="0"/>
            </w:tcBorders>
            <w:vAlign w:val="center"/>
          </w:tcPr>
          <w:p w14:paraId="4E51D242">
            <w:pPr>
              <w:pStyle w:val="17"/>
            </w:pPr>
          </w:p>
        </w:tc>
      </w:tr>
      <w:tr w14:paraId="63E2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179D3A6A">
            <w:pPr>
              <w:jc w:val="center"/>
              <w:rPr>
                <w:rFonts w:hint="default" w:eastAsia="宋体"/>
                <w:color w:val="000000"/>
                <w:sz w:val="20"/>
                <w:szCs w:val="20"/>
                <w:lang w:val="en-US" w:eastAsia="zh-CN"/>
              </w:rPr>
            </w:pPr>
            <w:r>
              <w:rPr>
                <w:rFonts w:hint="eastAsia"/>
                <w:color w:val="000000"/>
                <w:sz w:val="20"/>
                <w:szCs w:val="20"/>
                <w:lang w:val="en-US" w:eastAsia="zh-CN"/>
              </w:rPr>
              <w:t>第十一章</w:t>
            </w:r>
            <w:r>
              <w:rPr>
                <w:rFonts w:hint="eastAsia" w:ascii="宋体" w:hAnsi="宋体" w:eastAsia="宋体"/>
                <w:sz w:val="20"/>
                <w:szCs w:val="20"/>
              </w:rPr>
              <w:t>社区伤残病人的康复护理</w:t>
            </w:r>
          </w:p>
        </w:tc>
        <w:tc>
          <w:tcPr>
            <w:tcW w:w="567" w:type="dxa"/>
            <w:vAlign w:val="center"/>
          </w:tcPr>
          <w:p w14:paraId="49650006">
            <w:pPr>
              <w:pStyle w:val="17"/>
              <w:rPr>
                <w:rFonts w:hint="eastAsia"/>
              </w:rPr>
            </w:pPr>
            <w:r>
              <w:rPr>
                <w:rFonts w:hint="eastAsia"/>
              </w:rPr>
              <w:t>√</w:t>
            </w:r>
          </w:p>
        </w:tc>
        <w:tc>
          <w:tcPr>
            <w:tcW w:w="567" w:type="dxa"/>
            <w:vAlign w:val="center"/>
          </w:tcPr>
          <w:p w14:paraId="296127E8">
            <w:pPr>
              <w:pStyle w:val="17"/>
            </w:pPr>
          </w:p>
        </w:tc>
        <w:tc>
          <w:tcPr>
            <w:tcW w:w="567" w:type="dxa"/>
            <w:vAlign w:val="center"/>
          </w:tcPr>
          <w:p w14:paraId="6C7500C8">
            <w:pPr>
              <w:pStyle w:val="17"/>
            </w:pPr>
            <w:r>
              <w:rPr>
                <w:rFonts w:hint="eastAsia"/>
              </w:rPr>
              <w:t>√</w:t>
            </w:r>
          </w:p>
        </w:tc>
        <w:tc>
          <w:tcPr>
            <w:tcW w:w="567" w:type="dxa"/>
            <w:vAlign w:val="center"/>
          </w:tcPr>
          <w:p w14:paraId="6CF1D1E0">
            <w:pPr>
              <w:pStyle w:val="17"/>
            </w:pPr>
            <w:r>
              <w:rPr>
                <w:rFonts w:hint="eastAsia"/>
              </w:rPr>
              <w:t>√</w:t>
            </w:r>
          </w:p>
        </w:tc>
        <w:tc>
          <w:tcPr>
            <w:tcW w:w="567" w:type="dxa"/>
            <w:vAlign w:val="center"/>
          </w:tcPr>
          <w:p w14:paraId="198E125D">
            <w:pPr>
              <w:pStyle w:val="17"/>
            </w:pPr>
            <w:r>
              <w:rPr>
                <w:rFonts w:hint="eastAsia"/>
              </w:rPr>
              <w:t>√</w:t>
            </w:r>
          </w:p>
        </w:tc>
        <w:tc>
          <w:tcPr>
            <w:tcW w:w="567" w:type="dxa"/>
            <w:tcBorders>
              <w:right w:val="single" w:color="auto" w:sz="12" w:space="0"/>
            </w:tcBorders>
            <w:vAlign w:val="center"/>
          </w:tcPr>
          <w:p w14:paraId="71F01AEE">
            <w:pPr>
              <w:pStyle w:val="17"/>
              <w:rPr>
                <w:rFonts w:hint="eastAsia"/>
              </w:rPr>
            </w:pPr>
          </w:p>
        </w:tc>
        <w:tc>
          <w:tcPr>
            <w:tcW w:w="699" w:type="dxa"/>
            <w:tcBorders>
              <w:right w:val="single" w:color="auto" w:sz="12" w:space="0"/>
            </w:tcBorders>
            <w:vAlign w:val="center"/>
          </w:tcPr>
          <w:p w14:paraId="3A97608E">
            <w:pPr>
              <w:pStyle w:val="17"/>
            </w:pPr>
            <w:r>
              <w:rPr>
                <w:rFonts w:hint="eastAsia"/>
              </w:rPr>
              <w:t>√</w:t>
            </w:r>
          </w:p>
        </w:tc>
      </w:tr>
      <w:tr w14:paraId="35F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8" w:hRule="atLeast"/>
          <w:jc w:val="center"/>
        </w:trPr>
        <w:tc>
          <w:tcPr>
            <w:tcW w:w="4262" w:type="dxa"/>
            <w:tcBorders>
              <w:left w:val="single" w:color="auto" w:sz="12" w:space="0"/>
            </w:tcBorders>
            <w:vAlign w:val="center"/>
          </w:tcPr>
          <w:p w14:paraId="321A4FAA">
            <w:pPr>
              <w:jc w:val="center"/>
              <w:rPr>
                <w:rFonts w:hint="default" w:eastAsia="宋体"/>
                <w:color w:val="000000"/>
                <w:sz w:val="20"/>
                <w:szCs w:val="20"/>
                <w:lang w:val="en-US" w:eastAsia="zh-CN"/>
              </w:rPr>
            </w:pPr>
            <w:r>
              <w:rPr>
                <w:rFonts w:hint="eastAsia"/>
                <w:color w:val="000000"/>
                <w:sz w:val="20"/>
                <w:szCs w:val="20"/>
                <w:lang w:val="en-US" w:eastAsia="zh-CN"/>
              </w:rPr>
              <w:t>第十二章</w:t>
            </w:r>
            <w:r>
              <w:rPr>
                <w:rFonts w:hint="eastAsia" w:ascii="宋体" w:hAnsi="宋体" w:eastAsia="宋体"/>
                <w:sz w:val="20"/>
                <w:szCs w:val="20"/>
              </w:rPr>
              <w:t>社区安宁护与管理</w:t>
            </w:r>
          </w:p>
        </w:tc>
        <w:tc>
          <w:tcPr>
            <w:tcW w:w="567" w:type="dxa"/>
            <w:vAlign w:val="center"/>
          </w:tcPr>
          <w:p w14:paraId="5FF9C570">
            <w:pPr>
              <w:pStyle w:val="17"/>
              <w:rPr>
                <w:rFonts w:hint="eastAsia"/>
              </w:rPr>
            </w:pPr>
            <w:r>
              <w:rPr>
                <w:rFonts w:hint="eastAsia"/>
              </w:rPr>
              <w:t>√</w:t>
            </w:r>
          </w:p>
        </w:tc>
        <w:tc>
          <w:tcPr>
            <w:tcW w:w="567" w:type="dxa"/>
            <w:vAlign w:val="center"/>
          </w:tcPr>
          <w:p w14:paraId="61A4DC43">
            <w:pPr>
              <w:pStyle w:val="17"/>
            </w:pPr>
          </w:p>
        </w:tc>
        <w:tc>
          <w:tcPr>
            <w:tcW w:w="567" w:type="dxa"/>
            <w:vAlign w:val="center"/>
          </w:tcPr>
          <w:p w14:paraId="3B14211C">
            <w:pPr>
              <w:pStyle w:val="17"/>
            </w:pPr>
            <w:r>
              <w:rPr>
                <w:rFonts w:hint="eastAsia"/>
              </w:rPr>
              <w:t>√</w:t>
            </w:r>
          </w:p>
        </w:tc>
        <w:tc>
          <w:tcPr>
            <w:tcW w:w="567" w:type="dxa"/>
            <w:vAlign w:val="center"/>
          </w:tcPr>
          <w:p w14:paraId="477ADECF">
            <w:pPr>
              <w:pStyle w:val="17"/>
            </w:pPr>
          </w:p>
        </w:tc>
        <w:tc>
          <w:tcPr>
            <w:tcW w:w="567" w:type="dxa"/>
            <w:vAlign w:val="center"/>
          </w:tcPr>
          <w:p w14:paraId="63E94A81">
            <w:pPr>
              <w:pStyle w:val="17"/>
            </w:pPr>
            <w:r>
              <w:rPr>
                <w:rFonts w:hint="eastAsia"/>
              </w:rPr>
              <w:t>√</w:t>
            </w:r>
          </w:p>
        </w:tc>
        <w:tc>
          <w:tcPr>
            <w:tcW w:w="567" w:type="dxa"/>
            <w:tcBorders>
              <w:right w:val="single" w:color="auto" w:sz="12" w:space="0"/>
            </w:tcBorders>
            <w:vAlign w:val="center"/>
          </w:tcPr>
          <w:p w14:paraId="160DD54E">
            <w:pPr>
              <w:pStyle w:val="17"/>
              <w:rPr>
                <w:rFonts w:hint="eastAsia"/>
              </w:rPr>
            </w:pPr>
          </w:p>
        </w:tc>
        <w:tc>
          <w:tcPr>
            <w:tcW w:w="699" w:type="dxa"/>
            <w:tcBorders>
              <w:right w:val="single" w:color="auto" w:sz="12" w:space="0"/>
            </w:tcBorders>
            <w:vAlign w:val="center"/>
          </w:tcPr>
          <w:p w14:paraId="1EA8B890">
            <w:pPr>
              <w:pStyle w:val="17"/>
            </w:pPr>
            <w:r>
              <w:rPr>
                <w:rFonts w:hint="eastAsia"/>
              </w:rPr>
              <w:t>√</w:t>
            </w:r>
          </w:p>
        </w:tc>
      </w:tr>
      <w:tr w14:paraId="03B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4" w:hRule="atLeast"/>
          <w:jc w:val="center"/>
        </w:trPr>
        <w:tc>
          <w:tcPr>
            <w:tcW w:w="4262" w:type="dxa"/>
            <w:tcBorders>
              <w:left w:val="single" w:color="auto" w:sz="12" w:space="0"/>
            </w:tcBorders>
            <w:vAlign w:val="center"/>
          </w:tcPr>
          <w:p w14:paraId="01AEDD02">
            <w:pPr>
              <w:jc w:val="center"/>
              <w:rPr>
                <w:rFonts w:hint="default" w:eastAsia="宋体"/>
                <w:color w:val="000000"/>
                <w:sz w:val="20"/>
                <w:szCs w:val="20"/>
                <w:lang w:val="en-US" w:eastAsia="zh-CN"/>
              </w:rPr>
            </w:pPr>
            <w:r>
              <w:rPr>
                <w:rFonts w:hint="eastAsia"/>
                <w:color w:val="000000"/>
                <w:sz w:val="20"/>
                <w:szCs w:val="20"/>
                <w:lang w:val="en-US" w:eastAsia="zh-CN"/>
              </w:rPr>
              <w:t>第十三章</w:t>
            </w:r>
            <w:r>
              <w:rPr>
                <w:rFonts w:hint="eastAsia" w:ascii="宋体" w:hAnsi="宋体" w:eastAsia="宋体"/>
                <w:sz w:val="20"/>
                <w:szCs w:val="20"/>
              </w:rPr>
              <w:t>社区突发公共卫生事件的管理和护理</w:t>
            </w:r>
          </w:p>
        </w:tc>
        <w:tc>
          <w:tcPr>
            <w:tcW w:w="567" w:type="dxa"/>
            <w:vAlign w:val="center"/>
          </w:tcPr>
          <w:p w14:paraId="79EF641C">
            <w:pPr>
              <w:pStyle w:val="17"/>
              <w:rPr>
                <w:rFonts w:hint="eastAsia"/>
              </w:rPr>
            </w:pPr>
            <w:r>
              <w:rPr>
                <w:rFonts w:hint="eastAsia"/>
              </w:rPr>
              <w:t>√</w:t>
            </w:r>
          </w:p>
        </w:tc>
        <w:tc>
          <w:tcPr>
            <w:tcW w:w="567" w:type="dxa"/>
            <w:vAlign w:val="center"/>
          </w:tcPr>
          <w:p w14:paraId="30928693">
            <w:pPr>
              <w:pStyle w:val="17"/>
            </w:pPr>
          </w:p>
        </w:tc>
        <w:tc>
          <w:tcPr>
            <w:tcW w:w="567" w:type="dxa"/>
            <w:vAlign w:val="center"/>
          </w:tcPr>
          <w:p w14:paraId="7CFE1958">
            <w:pPr>
              <w:pStyle w:val="17"/>
            </w:pPr>
            <w:r>
              <w:rPr>
                <w:rFonts w:hint="eastAsia"/>
              </w:rPr>
              <w:t>√</w:t>
            </w:r>
          </w:p>
        </w:tc>
        <w:tc>
          <w:tcPr>
            <w:tcW w:w="567" w:type="dxa"/>
            <w:vAlign w:val="center"/>
          </w:tcPr>
          <w:p w14:paraId="07CEFC30">
            <w:pPr>
              <w:pStyle w:val="17"/>
            </w:pPr>
          </w:p>
        </w:tc>
        <w:tc>
          <w:tcPr>
            <w:tcW w:w="567" w:type="dxa"/>
            <w:vAlign w:val="center"/>
          </w:tcPr>
          <w:p w14:paraId="3AD2A4C2">
            <w:pPr>
              <w:pStyle w:val="17"/>
            </w:pPr>
          </w:p>
        </w:tc>
        <w:tc>
          <w:tcPr>
            <w:tcW w:w="567" w:type="dxa"/>
            <w:tcBorders>
              <w:right w:val="single" w:color="auto" w:sz="12" w:space="0"/>
            </w:tcBorders>
            <w:vAlign w:val="center"/>
          </w:tcPr>
          <w:p w14:paraId="1037DA71">
            <w:pPr>
              <w:pStyle w:val="17"/>
              <w:rPr>
                <w:rFonts w:hint="eastAsia"/>
              </w:rPr>
            </w:pPr>
            <w:r>
              <w:rPr>
                <w:rFonts w:hint="eastAsia"/>
              </w:rPr>
              <w:t>√</w:t>
            </w:r>
          </w:p>
        </w:tc>
        <w:tc>
          <w:tcPr>
            <w:tcW w:w="699" w:type="dxa"/>
            <w:tcBorders>
              <w:right w:val="single" w:color="auto" w:sz="12" w:space="0"/>
            </w:tcBorders>
            <w:vAlign w:val="center"/>
          </w:tcPr>
          <w:p w14:paraId="0FAE4994">
            <w:pPr>
              <w:pStyle w:val="17"/>
            </w:pPr>
          </w:p>
        </w:tc>
      </w:tr>
      <w:tr w14:paraId="4838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9" w:hRule="atLeast"/>
          <w:jc w:val="center"/>
        </w:trPr>
        <w:tc>
          <w:tcPr>
            <w:tcW w:w="4262" w:type="dxa"/>
            <w:tcBorders>
              <w:left w:val="single" w:color="auto" w:sz="12" w:space="0"/>
            </w:tcBorders>
            <w:vAlign w:val="center"/>
          </w:tcPr>
          <w:p w14:paraId="3D0A5A3A">
            <w:pPr>
              <w:jc w:val="center"/>
              <w:rPr>
                <w:rFonts w:hint="default" w:eastAsia="宋体"/>
                <w:color w:val="000000"/>
                <w:sz w:val="20"/>
                <w:szCs w:val="20"/>
                <w:lang w:val="en-US" w:eastAsia="zh-CN"/>
              </w:rPr>
            </w:pPr>
            <w:r>
              <w:rPr>
                <w:rFonts w:hint="eastAsia"/>
                <w:color w:val="000000"/>
                <w:sz w:val="20"/>
                <w:szCs w:val="20"/>
                <w:lang w:val="en-US" w:eastAsia="zh-CN"/>
              </w:rPr>
              <w:t>第十四章</w:t>
            </w:r>
            <w:r>
              <w:rPr>
                <w:rFonts w:hint="eastAsia" w:ascii="宋体" w:hAnsi="宋体" w:eastAsia="宋体"/>
                <w:sz w:val="20"/>
                <w:szCs w:val="20"/>
              </w:rPr>
              <w:t>社区健康信息化管理</w:t>
            </w:r>
          </w:p>
        </w:tc>
        <w:tc>
          <w:tcPr>
            <w:tcW w:w="567" w:type="dxa"/>
            <w:vAlign w:val="center"/>
          </w:tcPr>
          <w:p w14:paraId="10E0A47C">
            <w:pPr>
              <w:pStyle w:val="17"/>
              <w:rPr>
                <w:rFonts w:hint="eastAsia"/>
              </w:rPr>
            </w:pPr>
            <w:r>
              <w:rPr>
                <w:rFonts w:hint="eastAsia"/>
              </w:rPr>
              <w:t>√</w:t>
            </w:r>
          </w:p>
        </w:tc>
        <w:tc>
          <w:tcPr>
            <w:tcW w:w="567" w:type="dxa"/>
            <w:vAlign w:val="center"/>
          </w:tcPr>
          <w:p w14:paraId="2847E1F2">
            <w:pPr>
              <w:pStyle w:val="17"/>
            </w:pPr>
          </w:p>
        </w:tc>
        <w:tc>
          <w:tcPr>
            <w:tcW w:w="567" w:type="dxa"/>
            <w:vAlign w:val="center"/>
          </w:tcPr>
          <w:p w14:paraId="190596E3">
            <w:pPr>
              <w:pStyle w:val="17"/>
            </w:pPr>
            <w:r>
              <w:rPr>
                <w:rFonts w:hint="eastAsia"/>
              </w:rPr>
              <w:t>√</w:t>
            </w:r>
          </w:p>
        </w:tc>
        <w:tc>
          <w:tcPr>
            <w:tcW w:w="567" w:type="dxa"/>
            <w:vAlign w:val="center"/>
          </w:tcPr>
          <w:p w14:paraId="46DAB05A">
            <w:pPr>
              <w:pStyle w:val="17"/>
            </w:pPr>
          </w:p>
        </w:tc>
        <w:tc>
          <w:tcPr>
            <w:tcW w:w="567" w:type="dxa"/>
            <w:vAlign w:val="center"/>
          </w:tcPr>
          <w:p w14:paraId="1ED04E6A">
            <w:pPr>
              <w:pStyle w:val="17"/>
            </w:pPr>
          </w:p>
        </w:tc>
        <w:tc>
          <w:tcPr>
            <w:tcW w:w="567" w:type="dxa"/>
            <w:tcBorders>
              <w:right w:val="single" w:color="auto" w:sz="12" w:space="0"/>
            </w:tcBorders>
            <w:vAlign w:val="center"/>
          </w:tcPr>
          <w:p w14:paraId="291CCF05">
            <w:pPr>
              <w:pStyle w:val="17"/>
              <w:rPr>
                <w:rFonts w:hint="eastAsia"/>
              </w:rPr>
            </w:pPr>
          </w:p>
        </w:tc>
        <w:tc>
          <w:tcPr>
            <w:tcW w:w="699" w:type="dxa"/>
            <w:tcBorders>
              <w:right w:val="single" w:color="auto" w:sz="12" w:space="0"/>
            </w:tcBorders>
            <w:vAlign w:val="center"/>
          </w:tcPr>
          <w:p w14:paraId="42D010CD">
            <w:pPr>
              <w:pStyle w:val="17"/>
            </w:pPr>
            <w:r>
              <w:rPr>
                <w:rFonts w:hint="eastAsia"/>
              </w:rPr>
              <w:t>√</w:t>
            </w:r>
          </w:p>
        </w:tc>
      </w:tr>
    </w:tbl>
    <w:p w14:paraId="4C61A88F">
      <w:pPr>
        <w:pStyle w:val="20"/>
        <w:spacing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984"/>
        <w:gridCol w:w="1509"/>
        <w:gridCol w:w="725"/>
        <w:gridCol w:w="669"/>
        <w:gridCol w:w="717"/>
      </w:tblGrid>
      <w:tr w14:paraId="03FE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3CEEA73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84" w:type="dxa"/>
            <w:vMerge w:val="restart"/>
            <w:tcBorders>
              <w:top w:val="single" w:color="auto" w:sz="12" w:space="0"/>
            </w:tcBorders>
            <w:vAlign w:val="center"/>
          </w:tcPr>
          <w:p w14:paraId="60F6B631">
            <w:pPr>
              <w:pStyle w:val="16"/>
              <w:widowControl w:val="0"/>
              <w:rPr>
                <w:szCs w:val="21"/>
              </w:rPr>
            </w:pPr>
            <w:r>
              <w:rPr>
                <w:rFonts w:hint="eastAsia" w:ascii="黑体" w:hAnsi="黑体"/>
                <w:szCs w:val="21"/>
              </w:rPr>
              <w:t>教与学方式</w:t>
            </w:r>
          </w:p>
        </w:tc>
        <w:tc>
          <w:tcPr>
            <w:tcW w:w="1509" w:type="dxa"/>
            <w:vMerge w:val="restart"/>
            <w:tcBorders>
              <w:top w:val="single" w:color="auto" w:sz="12" w:space="0"/>
            </w:tcBorders>
            <w:vAlign w:val="center"/>
          </w:tcPr>
          <w:p w14:paraId="2D7E48B3">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A7490D4">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C72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42E8A2C2">
            <w:pPr>
              <w:widowControl w:val="0"/>
              <w:snapToGrid w:val="0"/>
              <w:jc w:val="center"/>
              <w:rPr>
                <w:rFonts w:ascii="黑体" w:hAnsi="黑体" w:eastAsia="黑体"/>
                <w:bCs/>
                <w:sz w:val="21"/>
                <w:szCs w:val="21"/>
              </w:rPr>
            </w:pPr>
          </w:p>
        </w:tc>
        <w:tc>
          <w:tcPr>
            <w:tcW w:w="2984" w:type="dxa"/>
            <w:vMerge w:val="continue"/>
          </w:tcPr>
          <w:p w14:paraId="1B8CB79C">
            <w:pPr>
              <w:widowControl w:val="0"/>
              <w:snapToGrid w:val="0"/>
              <w:jc w:val="center"/>
              <w:rPr>
                <w:rFonts w:ascii="黑体" w:hAnsi="黑体" w:eastAsia="黑体"/>
                <w:bCs/>
                <w:sz w:val="21"/>
                <w:szCs w:val="21"/>
              </w:rPr>
            </w:pPr>
          </w:p>
        </w:tc>
        <w:tc>
          <w:tcPr>
            <w:tcW w:w="1509" w:type="dxa"/>
            <w:vMerge w:val="continue"/>
          </w:tcPr>
          <w:p w14:paraId="34FB6FC1">
            <w:pPr>
              <w:widowControl w:val="0"/>
              <w:snapToGrid w:val="0"/>
              <w:jc w:val="center"/>
              <w:rPr>
                <w:rFonts w:ascii="黑体" w:hAnsi="黑体" w:eastAsia="黑体"/>
                <w:bCs/>
                <w:sz w:val="21"/>
                <w:szCs w:val="21"/>
              </w:rPr>
            </w:pPr>
          </w:p>
        </w:tc>
        <w:tc>
          <w:tcPr>
            <w:tcW w:w="725" w:type="dxa"/>
            <w:vAlign w:val="center"/>
          </w:tcPr>
          <w:p w14:paraId="75736D9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3B32F0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79805D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FF3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CAC2ADB">
            <w:pPr>
              <w:widowControl w:val="0"/>
              <w:snapToGrid w:val="0"/>
              <w:jc w:val="center"/>
              <w:rPr>
                <w:sz w:val="20"/>
                <w:szCs w:val="20"/>
              </w:rPr>
            </w:pPr>
            <w:r>
              <w:rPr>
                <w:rFonts w:hint="eastAsia"/>
                <w:sz w:val="20"/>
                <w:szCs w:val="20"/>
              </w:rPr>
              <w:t>第一章</w:t>
            </w:r>
          </w:p>
        </w:tc>
        <w:tc>
          <w:tcPr>
            <w:tcW w:w="2984" w:type="dxa"/>
            <w:vAlign w:val="center"/>
          </w:tcPr>
          <w:p w14:paraId="1EBBC062">
            <w:pPr>
              <w:widowControl w:val="0"/>
              <w:snapToGrid w:val="0"/>
              <w:jc w:val="center"/>
              <w:rPr>
                <w:sz w:val="20"/>
                <w:szCs w:val="20"/>
              </w:rPr>
            </w:pPr>
            <w:r>
              <w:rPr>
                <w:rFonts w:hint="eastAsia" w:ascii="宋体" w:hAnsi="宋体" w:cs="宋体"/>
                <w:kern w:val="0"/>
                <w:sz w:val="20"/>
                <w:szCs w:val="20"/>
                <w:lang w:eastAsia="zh-CN"/>
              </w:rPr>
              <w:t>理论讲授</w:t>
            </w:r>
          </w:p>
        </w:tc>
        <w:tc>
          <w:tcPr>
            <w:tcW w:w="1509" w:type="dxa"/>
            <w:vAlign w:val="center"/>
          </w:tcPr>
          <w:p w14:paraId="60A2B5DA">
            <w:pPr>
              <w:widowControl w:val="0"/>
              <w:snapToGrid w:val="0"/>
              <w:jc w:val="center"/>
              <w:rPr>
                <w:sz w:val="20"/>
                <w:szCs w:val="20"/>
              </w:rPr>
            </w:pPr>
            <w:r>
              <w:rPr>
                <w:rFonts w:hint="eastAsia"/>
                <w:color w:val="000000"/>
                <w:sz w:val="20"/>
                <w:szCs w:val="20"/>
              </w:rPr>
              <w:t>纸笔测试</w:t>
            </w:r>
          </w:p>
        </w:tc>
        <w:tc>
          <w:tcPr>
            <w:tcW w:w="725" w:type="dxa"/>
            <w:vAlign w:val="center"/>
          </w:tcPr>
          <w:p w14:paraId="6FAE674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0CC3CC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715DD53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12B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63E28C8">
            <w:pPr>
              <w:widowControl w:val="0"/>
              <w:snapToGrid w:val="0"/>
              <w:jc w:val="center"/>
              <w:rPr>
                <w:sz w:val="20"/>
                <w:szCs w:val="20"/>
              </w:rPr>
            </w:pPr>
            <w:r>
              <w:rPr>
                <w:rFonts w:hint="eastAsia"/>
                <w:sz w:val="20"/>
                <w:szCs w:val="20"/>
              </w:rPr>
              <w:t>第二章</w:t>
            </w:r>
          </w:p>
        </w:tc>
        <w:tc>
          <w:tcPr>
            <w:tcW w:w="2984" w:type="dxa"/>
            <w:vAlign w:val="center"/>
          </w:tcPr>
          <w:p w14:paraId="0F7EC7C1">
            <w:pPr>
              <w:widowControl w:val="0"/>
              <w:spacing w:line="276" w:lineRule="auto"/>
              <w:jc w:val="center"/>
              <w:rPr>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198BF058">
            <w:pPr>
              <w:widowControl w:val="0"/>
              <w:snapToGrid w:val="0"/>
              <w:jc w:val="center"/>
              <w:rPr>
                <w:sz w:val="20"/>
                <w:szCs w:val="20"/>
              </w:rPr>
            </w:pPr>
            <w:r>
              <w:rPr>
                <w:rFonts w:hint="eastAsia"/>
                <w:color w:val="000000"/>
                <w:sz w:val="20"/>
                <w:szCs w:val="20"/>
              </w:rPr>
              <w:t>纸笔测试</w:t>
            </w:r>
          </w:p>
          <w:p w14:paraId="2006F6C8">
            <w:pPr>
              <w:widowControl w:val="0"/>
              <w:snapToGrid w:val="0"/>
              <w:jc w:val="center"/>
              <w:rPr>
                <w:sz w:val="20"/>
                <w:szCs w:val="20"/>
              </w:rPr>
            </w:pPr>
            <w:r>
              <w:rPr>
                <w:rFonts w:hint="eastAsia"/>
                <w:sz w:val="20"/>
                <w:szCs w:val="20"/>
              </w:rPr>
              <w:t>汇报考核</w:t>
            </w:r>
          </w:p>
        </w:tc>
        <w:tc>
          <w:tcPr>
            <w:tcW w:w="725" w:type="dxa"/>
            <w:vAlign w:val="center"/>
          </w:tcPr>
          <w:p w14:paraId="18CE8D2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9239D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018CCA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ADA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9C66106">
            <w:pPr>
              <w:widowControl w:val="0"/>
              <w:snapToGrid w:val="0"/>
              <w:jc w:val="center"/>
              <w:rPr>
                <w:sz w:val="20"/>
                <w:szCs w:val="20"/>
              </w:rPr>
            </w:pPr>
            <w:r>
              <w:rPr>
                <w:rFonts w:hint="eastAsia"/>
                <w:sz w:val="20"/>
                <w:szCs w:val="20"/>
              </w:rPr>
              <w:t>第三章</w:t>
            </w:r>
          </w:p>
        </w:tc>
        <w:tc>
          <w:tcPr>
            <w:tcW w:w="2984" w:type="dxa"/>
            <w:vAlign w:val="center"/>
          </w:tcPr>
          <w:p w14:paraId="33EC1C37">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6BD136D1">
            <w:pPr>
              <w:widowControl w:val="0"/>
              <w:snapToGrid w:val="0"/>
              <w:jc w:val="center"/>
              <w:rPr>
                <w:color w:val="000000"/>
                <w:sz w:val="20"/>
                <w:szCs w:val="20"/>
              </w:rPr>
            </w:pPr>
            <w:r>
              <w:rPr>
                <w:rFonts w:hint="eastAsia"/>
                <w:color w:val="000000"/>
                <w:sz w:val="20"/>
                <w:szCs w:val="20"/>
              </w:rPr>
              <w:t>纸笔测试</w:t>
            </w:r>
          </w:p>
          <w:p w14:paraId="6A5F99EA">
            <w:pPr>
              <w:widowControl w:val="0"/>
              <w:snapToGrid w:val="0"/>
              <w:jc w:val="center"/>
              <w:rPr>
                <w:sz w:val="20"/>
                <w:szCs w:val="20"/>
              </w:rPr>
            </w:pPr>
            <w:r>
              <w:rPr>
                <w:rFonts w:hint="eastAsia"/>
                <w:sz w:val="20"/>
                <w:szCs w:val="20"/>
              </w:rPr>
              <w:t>实验报告</w:t>
            </w:r>
          </w:p>
        </w:tc>
        <w:tc>
          <w:tcPr>
            <w:tcW w:w="725" w:type="dxa"/>
            <w:vAlign w:val="center"/>
          </w:tcPr>
          <w:p w14:paraId="048E80C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7A4AE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AC3F85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F99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812047B">
            <w:pPr>
              <w:widowControl w:val="0"/>
              <w:snapToGrid w:val="0"/>
              <w:jc w:val="center"/>
              <w:rPr>
                <w:sz w:val="20"/>
                <w:szCs w:val="20"/>
              </w:rPr>
            </w:pPr>
            <w:r>
              <w:rPr>
                <w:rFonts w:hint="eastAsia"/>
                <w:sz w:val="20"/>
                <w:szCs w:val="20"/>
              </w:rPr>
              <w:t>第四章</w:t>
            </w:r>
          </w:p>
        </w:tc>
        <w:tc>
          <w:tcPr>
            <w:tcW w:w="2984" w:type="dxa"/>
            <w:vAlign w:val="center"/>
          </w:tcPr>
          <w:p w14:paraId="475FF1FD">
            <w:pPr>
              <w:widowControl w:val="0"/>
              <w:spacing w:line="276" w:lineRule="auto"/>
              <w:jc w:val="center"/>
              <w:rPr>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01E48C55">
            <w:pPr>
              <w:widowControl w:val="0"/>
              <w:snapToGrid w:val="0"/>
              <w:jc w:val="center"/>
              <w:rPr>
                <w:color w:val="000000"/>
                <w:sz w:val="20"/>
                <w:szCs w:val="20"/>
              </w:rPr>
            </w:pPr>
            <w:r>
              <w:rPr>
                <w:rFonts w:hint="eastAsia"/>
                <w:color w:val="000000"/>
                <w:sz w:val="20"/>
                <w:szCs w:val="20"/>
              </w:rPr>
              <w:t>纸笔测试</w:t>
            </w:r>
          </w:p>
          <w:p w14:paraId="42F1B0BB">
            <w:pPr>
              <w:widowControl w:val="0"/>
              <w:snapToGrid w:val="0"/>
              <w:jc w:val="both"/>
              <w:rPr>
                <w:sz w:val="20"/>
                <w:szCs w:val="20"/>
              </w:rPr>
            </w:pPr>
          </w:p>
        </w:tc>
        <w:tc>
          <w:tcPr>
            <w:tcW w:w="725" w:type="dxa"/>
            <w:vAlign w:val="center"/>
          </w:tcPr>
          <w:p w14:paraId="516C5B1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970F66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3C6F3E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r>
      <w:tr w14:paraId="7ACA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8D49FD5">
            <w:pPr>
              <w:widowControl w:val="0"/>
              <w:snapToGrid w:val="0"/>
              <w:jc w:val="center"/>
              <w:rPr>
                <w:sz w:val="20"/>
                <w:szCs w:val="20"/>
              </w:rPr>
            </w:pPr>
            <w:r>
              <w:rPr>
                <w:rFonts w:hint="eastAsia"/>
                <w:sz w:val="20"/>
                <w:szCs w:val="20"/>
              </w:rPr>
              <w:t>第五章</w:t>
            </w:r>
          </w:p>
        </w:tc>
        <w:tc>
          <w:tcPr>
            <w:tcW w:w="2984" w:type="dxa"/>
            <w:vAlign w:val="center"/>
          </w:tcPr>
          <w:p w14:paraId="1708CDD7">
            <w:pPr>
              <w:widowControl w:val="0"/>
              <w:spacing w:line="276" w:lineRule="auto"/>
              <w:jc w:val="center"/>
              <w:rPr>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2C0CF67B">
            <w:pPr>
              <w:widowControl w:val="0"/>
              <w:snapToGrid w:val="0"/>
              <w:jc w:val="center"/>
              <w:rPr>
                <w:color w:val="000000"/>
                <w:sz w:val="20"/>
                <w:szCs w:val="20"/>
              </w:rPr>
            </w:pPr>
            <w:r>
              <w:rPr>
                <w:rFonts w:hint="eastAsia"/>
                <w:color w:val="000000"/>
                <w:sz w:val="20"/>
                <w:szCs w:val="20"/>
              </w:rPr>
              <w:t>纸笔测试</w:t>
            </w:r>
          </w:p>
          <w:p w14:paraId="1FC8CC8E">
            <w:pPr>
              <w:widowControl w:val="0"/>
              <w:snapToGrid w:val="0"/>
              <w:jc w:val="center"/>
              <w:rPr>
                <w:sz w:val="20"/>
                <w:szCs w:val="20"/>
              </w:rPr>
            </w:pPr>
            <w:r>
              <w:rPr>
                <w:rFonts w:hint="eastAsia"/>
                <w:sz w:val="20"/>
                <w:szCs w:val="20"/>
              </w:rPr>
              <w:t>实验报告</w:t>
            </w:r>
          </w:p>
        </w:tc>
        <w:tc>
          <w:tcPr>
            <w:tcW w:w="725" w:type="dxa"/>
            <w:vAlign w:val="center"/>
          </w:tcPr>
          <w:p w14:paraId="481CCE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991756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3B9830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EEE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ED64EE5">
            <w:pPr>
              <w:widowControl w:val="0"/>
              <w:snapToGrid w:val="0"/>
              <w:jc w:val="center"/>
              <w:rPr>
                <w:sz w:val="20"/>
                <w:szCs w:val="20"/>
              </w:rPr>
            </w:pPr>
            <w:r>
              <w:rPr>
                <w:rFonts w:hint="eastAsia"/>
                <w:sz w:val="20"/>
                <w:szCs w:val="20"/>
              </w:rPr>
              <w:t>第六章</w:t>
            </w:r>
          </w:p>
        </w:tc>
        <w:tc>
          <w:tcPr>
            <w:tcW w:w="2984" w:type="dxa"/>
            <w:vAlign w:val="center"/>
          </w:tcPr>
          <w:p w14:paraId="7BC049FD">
            <w:pPr>
              <w:widowControl w:val="0"/>
              <w:spacing w:line="276" w:lineRule="auto"/>
              <w:jc w:val="center"/>
              <w:rPr>
                <w:sz w:val="20"/>
                <w:szCs w:val="20"/>
              </w:rPr>
            </w:pPr>
            <w:r>
              <w:rPr>
                <w:rFonts w:hint="eastAsia" w:ascii="宋体" w:hAnsi="宋体" w:cs="宋体"/>
                <w:kern w:val="0"/>
                <w:sz w:val="20"/>
                <w:szCs w:val="20"/>
                <w:lang w:eastAsia="zh-CN"/>
              </w:rPr>
              <w:t>理论讲授、问题引导、案例分析</w:t>
            </w:r>
            <w:r>
              <w:rPr>
                <w:rFonts w:hint="eastAsia" w:cs="宋体"/>
                <w:kern w:val="0"/>
                <w:sz w:val="20"/>
                <w:szCs w:val="20"/>
                <w:lang w:eastAsia="zh-CN"/>
              </w:rPr>
              <w:t>、</w:t>
            </w:r>
            <w:r>
              <w:rPr>
                <w:rFonts w:hint="eastAsia" w:ascii="宋体" w:hAnsi="宋体" w:cs="宋体"/>
                <w:kern w:val="0"/>
                <w:sz w:val="20"/>
                <w:szCs w:val="20"/>
                <w:lang w:eastAsia="zh-CN"/>
              </w:rPr>
              <w:t>角色扮演、</w:t>
            </w:r>
            <w:r>
              <w:rPr>
                <w:rFonts w:hint="eastAsia" w:ascii="宋体" w:hAnsi="宋体"/>
                <w:sz w:val="20"/>
                <w:szCs w:val="20"/>
                <w:lang w:eastAsia="zh-CN"/>
              </w:rPr>
              <w:t>课堂展示</w:t>
            </w:r>
          </w:p>
        </w:tc>
        <w:tc>
          <w:tcPr>
            <w:tcW w:w="1509" w:type="dxa"/>
            <w:vAlign w:val="center"/>
          </w:tcPr>
          <w:p w14:paraId="6AA44786">
            <w:pPr>
              <w:widowControl w:val="0"/>
              <w:snapToGrid w:val="0"/>
              <w:jc w:val="center"/>
              <w:rPr>
                <w:color w:val="000000"/>
                <w:sz w:val="20"/>
                <w:szCs w:val="20"/>
              </w:rPr>
            </w:pPr>
            <w:r>
              <w:rPr>
                <w:rFonts w:hint="eastAsia"/>
                <w:color w:val="000000"/>
                <w:sz w:val="20"/>
                <w:szCs w:val="20"/>
              </w:rPr>
              <w:t>纸笔测试</w:t>
            </w:r>
          </w:p>
          <w:p w14:paraId="1478E1CC">
            <w:pPr>
              <w:widowControl w:val="0"/>
              <w:snapToGrid w:val="0"/>
              <w:jc w:val="center"/>
              <w:rPr>
                <w:sz w:val="20"/>
                <w:szCs w:val="20"/>
              </w:rPr>
            </w:pPr>
            <w:r>
              <w:rPr>
                <w:rFonts w:hint="eastAsia"/>
                <w:sz w:val="20"/>
                <w:szCs w:val="20"/>
              </w:rPr>
              <w:t>实验报告</w:t>
            </w:r>
          </w:p>
        </w:tc>
        <w:tc>
          <w:tcPr>
            <w:tcW w:w="725" w:type="dxa"/>
            <w:vAlign w:val="center"/>
          </w:tcPr>
          <w:p w14:paraId="6FF5B9D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7D1B8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51A768D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2E98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950BA43">
            <w:pPr>
              <w:widowControl w:val="0"/>
              <w:snapToGrid w:val="0"/>
              <w:jc w:val="center"/>
              <w:rPr>
                <w:sz w:val="20"/>
                <w:szCs w:val="20"/>
              </w:rPr>
            </w:pPr>
            <w:r>
              <w:rPr>
                <w:rFonts w:hint="eastAsia"/>
                <w:sz w:val="20"/>
                <w:szCs w:val="20"/>
              </w:rPr>
              <w:t>第七章</w:t>
            </w:r>
          </w:p>
        </w:tc>
        <w:tc>
          <w:tcPr>
            <w:tcW w:w="2984" w:type="dxa"/>
            <w:vAlign w:val="center"/>
          </w:tcPr>
          <w:p w14:paraId="119B19FB">
            <w:pPr>
              <w:widowControl w:val="0"/>
              <w:snapToGrid w:val="0"/>
              <w:jc w:val="center"/>
              <w:rPr>
                <w:sz w:val="20"/>
                <w:szCs w:val="20"/>
              </w:rPr>
            </w:pPr>
            <w:r>
              <w:rPr>
                <w:rFonts w:hint="eastAsia" w:ascii="宋体" w:hAnsi="宋体" w:cs="宋体"/>
                <w:kern w:val="0"/>
                <w:sz w:val="20"/>
                <w:szCs w:val="20"/>
                <w:lang w:eastAsia="zh-CN"/>
              </w:rPr>
              <w:t>理论讲授、问题引导</w:t>
            </w:r>
          </w:p>
        </w:tc>
        <w:tc>
          <w:tcPr>
            <w:tcW w:w="1509" w:type="dxa"/>
            <w:vAlign w:val="center"/>
          </w:tcPr>
          <w:p w14:paraId="00322FD0">
            <w:pPr>
              <w:widowControl w:val="0"/>
              <w:snapToGrid w:val="0"/>
              <w:jc w:val="center"/>
              <w:rPr>
                <w:color w:val="000000"/>
                <w:sz w:val="20"/>
                <w:szCs w:val="20"/>
              </w:rPr>
            </w:pPr>
            <w:r>
              <w:rPr>
                <w:rFonts w:hint="eastAsia"/>
                <w:color w:val="000000"/>
                <w:sz w:val="20"/>
                <w:szCs w:val="20"/>
              </w:rPr>
              <w:t>纸笔测试</w:t>
            </w:r>
          </w:p>
          <w:p w14:paraId="1FA1DE89">
            <w:pPr>
              <w:widowControl w:val="0"/>
              <w:snapToGrid w:val="0"/>
              <w:jc w:val="center"/>
              <w:rPr>
                <w:rFonts w:hint="default" w:eastAsia="宋体"/>
                <w:sz w:val="20"/>
                <w:szCs w:val="20"/>
                <w:lang w:val="en-US" w:eastAsia="zh-CN"/>
              </w:rPr>
            </w:pPr>
            <w:r>
              <w:rPr>
                <w:rFonts w:hint="eastAsia"/>
                <w:sz w:val="20"/>
                <w:szCs w:val="20"/>
                <w:lang w:val="en-US" w:eastAsia="zh-CN"/>
              </w:rPr>
              <w:t>课堂展示</w:t>
            </w:r>
          </w:p>
        </w:tc>
        <w:tc>
          <w:tcPr>
            <w:tcW w:w="725" w:type="dxa"/>
            <w:vAlign w:val="center"/>
          </w:tcPr>
          <w:p w14:paraId="4D76D2B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4BC1E5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667E7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r>
      <w:tr w14:paraId="520F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F55A0C2">
            <w:pPr>
              <w:widowControl w:val="0"/>
              <w:snapToGrid w:val="0"/>
              <w:jc w:val="center"/>
              <w:rPr>
                <w:sz w:val="20"/>
                <w:szCs w:val="20"/>
              </w:rPr>
            </w:pPr>
            <w:r>
              <w:rPr>
                <w:rFonts w:hint="eastAsia"/>
                <w:sz w:val="20"/>
                <w:szCs w:val="20"/>
              </w:rPr>
              <w:t>第八章</w:t>
            </w:r>
          </w:p>
        </w:tc>
        <w:tc>
          <w:tcPr>
            <w:tcW w:w="2984" w:type="dxa"/>
            <w:vAlign w:val="center"/>
          </w:tcPr>
          <w:p w14:paraId="3278EF2A">
            <w:pPr>
              <w:widowControl w:val="0"/>
              <w:snapToGrid w:val="0"/>
              <w:jc w:val="center"/>
              <w:rPr>
                <w:sz w:val="20"/>
                <w:szCs w:val="20"/>
              </w:rPr>
            </w:pPr>
            <w:r>
              <w:rPr>
                <w:rFonts w:hint="eastAsia"/>
                <w:sz w:val="20"/>
                <w:szCs w:val="20"/>
              </w:rPr>
              <w:t>讲述法、讨论法；问题导向学习</w:t>
            </w:r>
          </w:p>
        </w:tc>
        <w:tc>
          <w:tcPr>
            <w:tcW w:w="1509" w:type="dxa"/>
            <w:vAlign w:val="center"/>
          </w:tcPr>
          <w:p w14:paraId="256F7F76">
            <w:pPr>
              <w:widowControl w:val="0"/>
              <w:snapToGrid w:val="0"/>
              <w:jc w:val="center"/>
              <w:rPr>
                <w:color w:val="000000"/>
                <w:sz w:val="20"/>
                <w:szCs w:val="20"/>
              </w:rPr>
            </w:pPr>
            <w:r>
              <w:rPr>
                <w:rFonts w:hint="eastAsia"/>
                <w:color w:val="000000"/>
                <w:sz w:val="20"/>
                <w:szCs w:val="20"/>
              </w:rPr>
              <w:t>纸笔测试</w:t>
            </w:r>
          </w:p>
          <w:p w14:paraId="5E2A475D">
            <w:pPr>
              <w:widowControl w:val="0"/>
              <w:snapToGrid w:val="0"/>
              <w:jc w:val="center"/>
              <w:rPr>
                <w:rFonts w:hint="default" w:eastAsia="宋体"/>
                <w:sz w:val="20"/>
                <w:szCs w:val="20"/>
                <w:lang w:val="en-US" w:eastAsia="zh-CN"/>
              </w:rPr>
            </w:pPr>
            <w:r>
              <w:rPr>
                <w:rFonts w:hint="eastAsia"/>
                <w:sz w:val="20"/>
                <w:szCs w:val="20"/>
                <w:lang w:val="en-US" w:eastAsia="zh-CN"/>
              </w:rPr>
              <w:t>课堂展示</w:t>
            </w:r>
          </w:p>
        </w:tc>
        <w:tc>
          <w:tcPr>
            <w:tcW w:w="725" w:type="dxa"/>
            <w:vAlign w:val="center"/>
          </w:tcPr>
          <w:p w14:paraId="6AC4EFD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DD03E0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EEF88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451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11A4D6C">
            <w:pPr>
              <w:widowControl w:val="0"/>
              <w:snapToGrid w:val="0"/>
              <w:jc w:val="center"/>
              <w:rPr>
                <w:rFonts w:hint="default" w:eastAsia="宋体"/>
                <w:sz w:val="20"/>
                <w:szCs w:val="20"/>
                <w:lang w:val="en-US" w:eastAsia="zh-CN"/>
              </w:rPr>
            </w:pPr>
            <w:r>
              <w:rPr>
                <w:rFonts w:hint="eastAsia"/>
                <w:sz w:val="20"/>
                <w:szCs w:val="20"/>
                <w:lang w:val="en-US" w:eastAsia="zh-CN"/>
              </w:rPr>
              <w:t>第九章</w:t>
            </w:r>
          </w:p>
        </w:tc>
        <w:tc>
          <w:tcPr>
            <w:tcW w:w="2984" w:type="dxa"/>
            <w:vAlign w:val="center"/>
          </w:tcPr>
          <w:p w14:paraId="03F3E78E">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1EB075EB">
            <w:pPr>
              <w:widowControl w:val="0"/>
              <w:snapToGrid w:val="0"/>
              <w:jc w:val="center"/>
              <w:rPr>
                <w:sz w:val="20"/>
                <w:szCs w:val="20"/>
              </w:rPr>
            </w:pPr>
            <w:r>
              <w:rPr>
                <w:rFonts w:hint="eastAsia"/>
                <w:color w:val="000000"/>
                <w:sz w:val="20"/>
                <w:szCs w:val="20"/>
              </w:rPr>
              <w:t>纸笔测试</w:t>
            </w:r>
          </w:p>
        </w:tc>
        <w:tc>
          <w:tcPr>
            <w:tcW w:w="725" w:type="dxa"/>
            <w:vAlign w:val="center"/>
          </w:tcPr>
          <w:p w14:paraId="4E573EA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BA955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58456C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4B9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A6B36EA">
            <w:pPr>
              <w:widowControl w:val="0"/>
              <w:snapToGrid w:val="0"/>
              <w:jc w:val="center"/>
              <w:rPr>
                <w:rFonts w:hint="default" w:eastAsia="宋体"/>
                <w:sz w:val="20"/>
                <w:szCs w:val="20"/>
                <w:lang w:val="en-US" w:eastAsia="zh-CN"/>
              </w:rPr>
            </w:pPr>
            <w:r>
              <w:rPr>
                <w:rFonts w:hint="eastAsia"/>
                <w:sz w:val="20"/>
                <w:szCs w:val="20"/>
                <w:lang w:val="en-US" w:eastAsia="zh-CN"/>
              </w:rPr>
              <w:t>第十章</w:t>
            </w:r>
          </w:p>
        </w:tc>
        <w:tc>
          <w:tcPr>
            <w:tcW w:w="2984" w:type="dxa"/>
            <w:vAlign w:val="center"/>
          </w:tcPr>
          <w:p w14:paraId="0DAB0887">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512936C7">
            <w:pPr>
              <w:widowControl w:val="0"/>
              <w:snapToGrid w:val="0"/>
              <w:jc w:val="center"/>
              <w:rPr>
                <w:sz w:val="20"/>
                <w:szCs w:val="20"/>
              </w:rPr>
            </w:pPr>
            <w:r>
              <w:rPr>
                <w:rFonts w:hint="eastAsia"/>
                <w:color w:val="000000"/>
                <w:sz w:val="20"/>
                <w:szCs w:val="20"/>
              </w:rPr>
              <w:t>纸笔测试</w:t>
            </w:r>
          </w:p>
        </w:tc>
        <w:tc>
          <w:tcPr>
            <w:tcW w:w="725" w:type="dxa"/>
            <w:vAlign w:val="center"/>
          </w:tcPr>
          <w:p w14:paraId="7FA896C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38C725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6237C6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60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E6C1BAA">
            <w:pPr>
              <w:widowControl w:val="0"/>
              <w:snapToGrid w:val="0"/>
              <w:jc w:val="center"/>
              <w:rPr>
                <w:rFonts w:hint="default" w:eastAsia="宋体"/>
                <w:sz w:val="20"/>
                <w:szCs w:val="20"/>
                <w:lang w:val="en-US" w:eastAsia="zh-CN"/>
              </w:rPr>
            </w:pPr>
            <w:r>
              <w:rPr>
                <w:rFonts w:hint="eastAsia"/>
                <w:sz w:val="20"/>
                <w:szCs w:val="20"/>
                <w:lang w:val="en-US" w:eastAsia="zh-CN"/>
              </w:rPr>
              <w:t>第十一章</w:t>
            </w:r>
          </w:p>
        </w:tc>
        <w:tc>
          <w:tcPr>
            <w:tcW w:w="2984" w:type="dxa"/>
            <w:vAlign w:val="center"/>
          </w:tcPr>
          <w:p w14:paraId="30BFB39D">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31CAE74A">
            <w:pPr>
              <w:widowControl w:val="0"/>
              <w:snapToGrid w:val="0"/>
              <w:jc w:val="center"/>
              <w:rPr>
                <w:sz w:val="20"/>
                <w:szCs w:val="20"/>
              </w:rPr>
            </w:pPr>
            <w:r>
              <w:rPr>
                <w:rFonts w:hint="eastAsia"/>
                <w:color w:val="000000"/>
                <w:sz w:val="20"/>
                <w:szCs w:val="20"/>
              </w:rPr>
              <w:t>纸笔测试</w:t>
            </w:r>
          </w:p>
        </w:tc>
        <w:tc>
          <w:tcPr>
            <w:tcW w:w="725" w:type="dxa"/>
            <w:vAlign w:val="center"/>
          </w:tcPr>
          <w:p w14:paraId="7C68967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377DCC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4E056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E25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186145C">
            <w:pPr>
              <w:widowControl w:val="0"/>
              <w:snapToGrid w:val="0"/>
              <w:jc w:val="center"/>
              <w:rPr>
                <w:rFonts w:hint="default" w:eastAsia="宋体"/>
                <w:sz w:val="20"/>
                <w:szCs w:val="20"/>
                <w:lang w:val="en-US" w:eastAsia="zh-CN"/>
              </w:rPr>
            </w:pPr>
            <w:r>
              <w:rPr>
                <w:rFonts w:hint="eastAsia"/>
                <w:sz w:val="20"/>
                <w:szCs w:val="20"/>
                <w:lang w:val="en-US" w:eastAsia="zh-CN"/>
              </w:rPr>
              <w:t>第十二章</w:t>
            </w:r>
          </w:p>
        </w:tc>
        <w:tc>
          <w:tcPr>
            <w:tcW w:w="2984" w:type="dxa"/>
            <w:vAlign w:val="center"/>
          </w:tcPr>
          <w:p w14:paraId="2A216FE5">
            <w:pPr>
              <w:widowControl w:val="0"/>
              <w:spacing w:line="276" w:lineRule="auto"/>
              <w:jc w:val="center"/>
              <w:rPr>
                <w:rFonts w:hint="eastAsia"/>
                <w:sz w:val="20"/>
                <w:szCs w:val="20"/>
              </w:rPr>
            </w:pPr>
            <w:r>
              <w:rPr>
                <w:rFonts w:hint="eastAsia" w:ascii="宋体" w:hAnsi="宋体" w:cs="宋体"/>
                <w:kern w:val="0"/>
                <w:sz w:val="20"/>
                <w:szCs w:val="20"/>
                <w:lang w:eastAsia="zh-CN"/>
              </w:rPr>
              <w:t>理论讲授、病例分析、角色扮演、阶段复习</w:t>
            </w:r>
          </w:p>
        </w:tc>
        <w:tc>
          <w:tcPr>
            <w:tcW w:w="1509" w:type="dxa"/>
            <w:vAlign w:val="center"/>
          </w:tcPr>
          <w:p w14:paraId="116E2C7F">
            <w:pPr>
              <w:widowControl w:val="0"/>
              <w:snapToGrid w:val="0"/>
              <w:jc w:val="center"/>
              <w:rPr>
                <w:sz w:val="20"/>
                <w:szCs w:val="20"/>
              </w:rPr>
            </w:pPr>
            <w:r>
              <w:rPr>
                <w:rFonts w:hint="eastAsia"/>
                <w:color w:val="000000"/>
                <w:sz w:val="20"/>
                <w:szCs w:val="20"/>
              </w:rPr>
              <w:t>纸笔测试</w:t>
            </w:r>
          </w:p>
        </w:tc>
        <w:tc>
          <w:tcPr>
            <w:tcW w:w="725" w:type="dxa"/>
            <w:vAlign w:val="center"/>
          </w:tcPr>
          <w:p w14:paraId="091987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B67226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B8736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1606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92C472A">
            <w:pPr>
              <w:widowControl w:val="0"/>
              <w:snapToGrid w:val="0"/>
              <w:jc w:val="center"/>
              <w:rPr>
                <w:rFonts w:hint="default" w:eastAsia="宋体"/>
                <w:sz w:val="20"/>
                <w:szCs w:val="20"/>
                <w:lang w:val="en-US" w:eastAsia="zh-CN"/>
              </w:rPr>
            </w:pPr>
            <w:r>
              <w:rPr>
                <w:rFonts w:hint="eastAsia"/>
                <w:sz w:val="20"/>
                <w:szCs w:val="20"/>
                <w:lang w:val="en-US" w:eastAsia="zh-CN"/>
              </w:rPr>
              <w:t>第十三章</w:t>
            </w:r>
          </w:p>
        </w:tc>
        <w:tc>
          <w:tcPr>
            <w:tcW w:w="2984" w:type="dxa"/>
            <w:vAlign w:val="center"/>
          </w:tcPr>
          <w:p w14:paraId="1FE04864">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理论讲授、问题引导、案例分析</w:t>
            </w:r>
          </w:p>
        </w:tc>
        <w:tc>
          <w:tcPr>
            <w:tcW w:w="1509" w:type="dxa"/>
            <w:vAlign w:val="center"/>
          </w:tcPr>
          <w:p w14:paraId="0420CEA1">
            <w:pPr>
              <w:widowControl w:val="0"/>
              <w:snapToGrid w:val="0"/>
              <w:jc w:val="center"/>
              <w:rPr>
                <w:sz w:val="20"/>
                <w:szCs w:val="20"/>
              </w:rPr>
            </w:pPr>
            <w:r>
              <w:rPr>
                <w:rFonts w:hint="eastAsia"/>
                <w:color w:val="000000"/>
                <w:sz w:val="20"/>
                <w:szCs w:val="20"/>
              </w:rPr>
              <w:t>纸笔测试</w:t>
            </w:r>
          </w:p>
        </w:tc>
        <w:tc>
          <w:tcPr>
            <w:tcW w:w="725" w:type="dxa"/>
            <w:vAlign w:val="center"/>
          </w:tcPr>
          <w:p w14:paraId="6A5464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58F1EBA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5478C2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6ED6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0BBA63D">
            <w:pPr>
              <w:widowControl w:val="0"/>
              <w:snapToGrid w:val="0"/>
              <w:jc w:val="center"/>
              <w:rPr>
                <w:rFonts w:hint="default" w:eastAsia="宋体"/>
                <w:sz w:val="20"/>
                <w:szCs w:val="20"/>
                <w:lang w:val="en-US" w:eastAsia="zh-CN"/>
              </w:rPr>
            </w:pPr>
            <w:r>
              <w:rPr>
                <w:rFonts w:hint="eastAsia"/>
                <w:sz w:val="20"/>
                <w:szCs w:val="20"/>
                <w:lang w:val="en-US" w:eastAsia="zh-CN"/>
              </w:rPr>
              <w:t>第十四章</w:t>
            </w:r>
          </w:p>
        </w:tc>
        <w:tc>
          <w:tcPr>
            <w:tcW w:w="2984" w:type="dxa"/>
            <w:vAlign w:val="center"/>
          </w:tcPr>
          <w:p w14:paraId="658B64C3">
            <w:pPr>
              <w:widowControl w:val="0"/>
              <w:spacing w:line="276" w:lineRule="auto"/>
              <w:jc w:val="center"/>
              <w:rPr>
                <w:rFonts w:hint="eastAsia"/>
                <w:sz w:val="20"/>
                <w:szCs w:val="20"/>
              </w:rPr>
            </w:pPr>
            <w:r>
              <w:rPr>
                <w:rFonts w:hint="eastAsia" w:ascii="宋体" w:hAnsi="宋体" w:cs="宋体"/>
                <w:kern w:val="0"/>
                <w:sz w:val="20"/>
                <w:szCs w:val="20"/>
                <w:lang w:eastAsia="zh-CN"/>
              </w:rPr>
              <w:t>理论讲授、问题引导</w:t>
            </w:r>
          </w:p>
        </w:tc>
        <w:tc>
          <w:tcPr>
            <w:tcW w:w="1509" w:type="dxa"/>
            <w:vAlign w:val="center"/>
          </w:tcPr>
          <w:p w14:paraId="6190007C">
            <w:pPr>
              <w:widowControl w:val="0"/>
              <w:snapToGrid w:val="0"/>
              <w:jc w:val="center"/>
              <w:rPr>
                <w:sz w:val="20"/>
                <w:szCs w:val="20"/>
              </w:rPr>
            </w:pPr>
            <w:r>
              <w:rPr>
                <w:rFonts w:hint="eastAsia"/>
                <w:color w:val="000000"/>
                <w:sz w:val="20"/>
                <w:szCs w:val="20"/>
              </w:rPr>
              <w:t>纸笔测试</w:t>
            </w:r>
          </w:p>
        </w:tc>
        <w:tc>
          <w:tcPr>
            <w:tcW w:w="725" w:type="dxa"/>
            <w:vAlign w:val="center"/>
          </w:tcPr>
          <w:p w14:paraId="7D8AEB9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7E0D7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144485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4CF9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C7A30A0">
            <w:pPr>
              <w:pStyle w:val="16"/>
              <w:widowControl w:val="0"/>
            </w:pPr>
            <w:r>
              <w:rPr>
                <w:rFonts w:hint="eastAsia"/>
              </w:rPr>
              <w:t>合计</w:t>
            </w:r>
          </w:p>
        </w:tc>
        <w:tc>
          <w:tcPr>
            <w:tcW w:w="725" w:type="dxa"/>
            <w:tcBorders>
              <w:bottom w:val="single" w:color="auto" w:sz="12" w:space="0"/>
            </w:tcBorders>
            <w:vAlign w:val="center"/>
          </w:tcPr>
          <w:p w14:paraId="2E0C066F">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7CB647C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09A2A212">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C95FE70">
      <w:pPr>
        <w:pStyle w:val="20"/>
        <w:spacing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71F7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3B8835C0">
            <w:pPr>
              <w:pStyle w:val="16"/>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B641E64">
            <w:pPr>
              <w:pStyle w:val="16"/>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04A47091">
            <w:pPr>
              <w:pStyle w:val="16"/>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7FD31616">
            <w:pPr>
              <w:pStyle w:val="16"/>
              <w:rPr>
                <w:szCs w:val="16"/>
              </w:rPr>
            </w:pPr>
            <w:r>
              <w:rPr>
                <w:rFonts w:hint="eastAsia"/>
                <w:szCs w:val="16"/>
              </w:rPr>
              <w:t>实验</w:t>
            </w:r>
          </w:p>
          <w:p w14:paraId="34E57AA8">
            <w:pPr>
              <w:pStyle w:val="16"/>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108D35D">
            <w:pPr>
              <w:pStyle w:val="16"/>
              <w:rPr>
                <w:szCs w:val="16"/>
              </w:rPr>
            </w:pPr>
            <w:r>
              <w:rPr>
                <w:rFonts w:hint="eastAsia"/>
                <w:szCs w:val="16"/>
              </w:rPr>
              <w:t>实验</w:t>
            </w:r>
          </w:p>
          <w:p w14:paraId="0147CF2E">
            <w:pPr>
              <w:pStyle w:val="16"/>
              <w:rPr>
                <w:szCs w:val="16"/>
              </w:rPr>
            </w:pPr>
            <w:r>
              <w:rPr>
                <w:rFonts w:hint="eastAsia"/>
                <w:szCs w:val="16"/>
              </w:rPr>
              <w:t>类型</w:t>
            </w:r>
          </w:p>
        </w:tc>
      </w:tr>
      <w:tr w14:paraId="2D58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A54763B">
            <w:pPr>
              <w:pStyle w:val="17"/>
            </w:pPr>
            <w:r>
              <w:rPr>
                <w:rFonts w:hint="eastAsia"/>
              </w:rPr>
              <w:t>1</w:t>
            </w:r>
          </w:p>
        </w:tc>
        <w:tc>
          <w:tcPr>
            <w:tcW w:w="1882" w:type="dxa"/>
            <w:vAlign w:val="center"/>
          </w:tcPr>
          <w:p w14:paraId="37E02C44">
            <w:pPr>
              <w:snapToGrid w:val="0"/>
              <w:spacing w:beforeLines="50" w:afterLines="50"/>
              <w:jc w:val="center"/>
              <w:rPr>
                <w:rFonts w:hint="default" w:eastAsia="宋体"/>
                <w:bCs/>
                <w:sz w:val="20"/>
                <w:lang w:val="en-US" w:eastAsia="zh-CN"/>
              </w:rPr>
            </w:pPr>
            <w:r>
              <w:rPr>
                <w:rFonts w:hint="eastAsia"/>
                <w:bCs/>
                <w:sz w:val="20"/>
                <w:lang w:val="en-US" w:eastAsia="zh-CN"/>
              </w:rPr>
              <w:t>社区健康资料整理</w:t>
            </w:r>
          </w:p>
        </w:tc>
        <w:tc>
          <w:tcPr>
            <w:tcW w:w="4061" w:type="dxa"/>
            <w:vAlign w:val="center"/>
          </w:tcPr>
          <w:p w14:paraId="10009686">
            <w:pPr>
              <w:snapToGrid w:val="0"/>
              <w:spacing w:beforeLines="50" w:afterLines="50"/>
              <w:jc w:val="left"/>
              <w:rPr>
                <w:rFonts w:hint="default" w:eastAsia="宋体"/>
                <w:bCs/>
                <w:sz w:val="20"/>
                <w:lang w:val="en-US" w:eastAsia="zh-CN"/>
              </w:rPr>
            </w:pPr>
            <w:r>
              <w:rPr>
                <w:rFonts w:hint="eastAsia"/>
                <w:bCs/>
                <w:sz w:val="20"/>
                <w:lang w:val="en-US" w:eastAsia="zh-CN"/>
              </w:rPr>
              <w:t>掌握统计表的基本结构和制表要求，能够根据社区健康资料正确制作统计图表。</w:t>
            </w:r>
          </w:p>
        </w:tc>
        <w:tc>
          <w:tcPr>
            <w:tcW w:w="862" w:type="dxa"/>
            <w:vAlign w:val="center"/>
          </w:tcPr>
          <w:p w14:paraId="5F1CEC9A">
            <w:pPr>
              <w:snapToGrid w:val="0"/>
              <w:spacing w:beforeLines="50" w:afterLines="50"/>
              <w:jc w:val="center"/>
              <w:rPr>
                <w:bCs/>
                <w:sz w:val="20"/>
              </w:rPr>
            </w:pPr>
            <w:r>
              <w:rPr>
                <w:rFonts w:hint="eastAsia"/>
                <w:bCs/>
                <w:sz w:val="20"/>
              </w:rPr>
              <w:t>2</w:t>
            </w:r>
          </w:p>
        </w:tc>
        <w:tc>
          <w:tcPr>
            <w:tcW w:w="950" w:type="dxa"/>
            <w:vAlign w:val="center"/>
          </w:tcPr>
          <w:p w14:paraId="114F9E98">
            <w:pPr>
              <w:pStyle w:val="17"/>
              <w:jc w:val="left"/>
              <w:rPr>
                <w:rFonts w:ascii="宋体" w:hAnsi="宋体"/>
                <w:bCs/>
                <w:color w:val="auto"/>
                <w:sz w:val="20"/>
                <w:szCs w:val="24"/>
              </w:rPr>
            </w:pPr>
            <w:r>
              <w:rPr>
                <w:rFonts w:hint="eastAsia" w:ascii="宋体" w:hAnsi="宋体"/>
                <w:bCs/>
                <w:color w:val="auto"/>
                <w:sz w:val="20"/>
                <w:szCs w:val="24"/>
              </w:rPr>
              <w:t>④</w:t>
            </w:r>
          </w:p>
        </w:tc>
      </w:tr>
      <w:tr w14:paraId="0BEF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5C081FBB">
            <w:pPr>
              <w:pStyle w:val="17"/>
            </w:pPr>
            <w:r>
              <w:rPr>
                <w:rFonts w:hint="eastAsia"/>
              </w:rPr>
              <w:t>2</w:t>
            </w:r>
          </w:p>
        </w:tc>
        <w:tc>
          <w:tcPr>
            <w:tcW w:w="1882" w:type="dxa"/>
            <w:shd w:val="clear" w:color="auto" w:fill="auto"/>
            <w:vAlign w:val="center"/>
          </w:tcPr>
          <w:p w14:paraId="76EECD2F">
            <w:pPr>
              <w:ind w:firstLine="200" w:firstLineChars="100"/>
              <w:jc w:val="center"/>
              <w:rPr>
                <w:rFonts w:hint="default" w:ascii="宋体" w:hAnsi="宋体" w:eastAsia="宋体" w:cs="宋体"/>
                <w:bCs/>
                <w:sz w:val="20"/>
                <w:szCs w:val="24"/>
                <w:lang w:val="en-US" w:eastAsia="zh-CN" w:bidi="ar-SA"/>
              </w:rPr>
            </w:pPr>
            <w:r>
              <w:rPr>
                <w:rFonts w:hint="eastAsia" w:cs="宋体"/>
                <w:bCs/>
                <w:sz w:val="20"/>
                <w:szCs w:val="24"/>
                <w:lang w:val="en-US" w:eastAsia="zh-CN" w:bidi="ar-SA"/>
              </w:rPr>
              <w:t>设计健康教育宣传单（册）</w:t>
            </w:r>
          </w:p>
        </w:tc>
        <w:tc>
          <w:tcPr>
            <w:tcW w:w="4061" w:type="dxa"/>
            <w:shd w:val="clear" w:color="auto" w:fill="auto"/>
            <w:vAlign w:val="center"/>
          </w:tcPr>
          <w:p w14:paraId="38F85845">
            <w:pPr>
              <w:jc w:val="left"/>
              <w:rPr>
                <w:rFonts w:hint="default" w:ascii="宋体" w:hAnsi="宋体" w:eastAsia="宋体" w:cs="宋体"/>
                <w:bCs/>
                <w:sz w:val="20"/>
                <w:szCs w:val="24"/>
                <w:lang w:val="en-US" w:eastAsia="zh-CN" w:bidi="ar-SA"/>
              </w:rPr>
            </w:pPr>
            <w:r>
              <w:rPr>
                <w:rFonts w:hint="eastAsia" w:cs="宋体"/>
                <w:bCs/>
                <w:sz w:val="20"/>
                <w:szCs w:val="24"/>
                <w:lang w:val="en-US" w:eastAsia="zh-CN" w:bidi="ar-SA"/>
              </w:rPr>
              <w:t>通过健康教育宣传单（册）设计，需掌握社区健康教育的形式，培养学生自主创新能力和动手能力。</w:t>
            </w:r>
          </w:p>
        </w:tc>
        <w:tc>
          <w:tcPr>
            <w:tcW w:w="862" w:type="dxa"/>
            <w:vAlign w:val="center"/>
          </w:tcPr>
          <w:p w14:paraId="17C720AE">
            <w:pPr>
              <w:snapToGrid w:val="0"/>
              <w:spacing w:beforeLines="50" w:afterLines="50"/>
              <w:jc w:val="center"/>
              <w:rPr>
                <w:bCs/>
                <w:sz w:val="20"/>
              </w:rPr>
            </w:pPr>
            <w:r>
              <w:rPr>
                <w:rFonts w:hint="eastAsia"/>
                <w:bCs/>
                <w:sz w:val="20"/>
              </w:rPr>
              <w:t>2</w:t>
            </w:r>
          </w:p>
        </w:tc>
        <w:tc>
          <w:tcPr>
            <w:tcW w:w="950" w:type="dxa"/>
            <w:vAlign w:val="center"/>
          </w:tcPr>
          <w:p w14:paraId="7C2236D4">
            <w:pPr>
              <w:pStyle w:val="17"/>
              <w:jc w:val="left"/>
              <w:rPr>
                <w:rFonts w:ascii="宋体" w:hAnsi="宋体"/>
                <w:bCs/>
                <w:color w:val="auto"/>
                <w:sz w:val="20"/>
                <w:szCs w:val="24"/>
              </w:rPr>
            </w:pPr>
            <w:r>
              <w:rPr>
                <w:rFonts w:hint="eastAsia" w:ascii="宋体" w:hAnsi="宋体"/>
                <w:bCs/>
                <w:color w:val="auto"/>
                <w:sz w:val="20"/>
                <w:szCs w:val="24"/>
              </w:rPr>
              <w:t>④</w:t>
            </w:r>
            <w:r>
              <w:rPr>
                <w:rFonts w:hint="eastAsia"/>
              </w:rPr>
              <w:t>③</w:t>
            </w:r>
          </w:p>
        </w:tc>
      </w:tr>
      <w:tr w14:paraId="7551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59B916E8">
            <w:pPr>
              <w:pStyle w:val="17"/>
            </w:pPr>
            <w:r>
              <w:rPr>
                <w:rFonts w:hint="eastAsia"/>
              </w:rPr>
              <w:t>3</w:t>
            </w:r>
          </w:p>
        </w:tc>
        <w:tc>
          <w:tcPr>
            <w:tcW w:w="1882" w:type="dxa"/>
            <w:shd w:val="clear" w:color="auto" w:fill="auto"/>
            <w:vAlign w:val="center"/>
          </w:tcPr>
          <w:p w14:paraId="0B3B1B2E">
            <w:pPr>
              <w:jc w:val="center"/>
              <w:rPr>
                <w:rFonts w:hint="default" w:ascii="宋体" w:hAnsi="宋体" w:eastAsia="宋体" w:cs="宋体"/>
                <w:bCs/>
                <w:sz w:val="20"/>
                <w:szCs w:val="24"/>
                <w:lang w:val="en-US" w:eastAsia="zh-CN" w:bidi="ar-SA"/>
              </w:rPr>
            </w:pPr>
            <w:r>
              <w:rPr>
                <w:rFonts w:hint="eastAsia" w:cs="宋体"/>
                <w:bCs/>
                <w:sz w:val="20"/>
                <w:szCs w:val="24"/>
                <w:lang w:val="en-US" w:eastAsia="zh-CN" w:bidi="ar-SA"/>
              </w:rPr>
              <w:t>家庭健康护理实践</w:t>
            </w:r>
          </w:p>
        </w:tc>
        <w:tc>
          <w:tcPr>
            <w:tcW w:w="4061" w:type="dxa"/>
            <w:shd w:val="clear" w:color="auto" w:fill="auto"/>
            <w:vAlign w:val="center"/>
          </w:tcPr>
          <w:p w14:paraId="74DBF3A2">
            <w:pPr>
              <w:jc w:val="left"/>
              <w:rPr>
                <w:rFonts w:hint="default" w:ascii="宋体" w:hAnsi="宋体" w:eastAsia="宋体" w:cs="宋体"/>
                <w:bCs/>
                <w:sz w:val="20"/>
                <w:szCs w:val="24"/>
                <w:lang w:val="en-US" w:eastAsia="zh-CN" w:bidi="ar-SA"/>
              </w:rPr>
            </w:pPr>
            <w:r>
              <w:rPr>
                <w:rFonts w:hint="eastAsia" w:cs="宋体"/>
                <w:bCs/>
                <w:sz w:val="20"/>
                <w:szCs w:val="24"/>
                <w:lang w:val="en-US" w:eastAsia="zh-CN" w:bidi="ar-SA"/>
              </w:rPr>
              <w:t>掌握家庭结构图绘制的基本要求和绘制方法，能够根据资料画出家庭结构图。</w:t>
            </w:r>
          </w:p>
        </w:tc>
        <w:tc>
          <w:tcPr>
            <w:tcW w:w="862" w:type="dxa"/>
            <w:vAlign w:val="center"/>
          </w:tcPr>
          <w:p w14:paraId="03470696">
            <w:pPr>
              <w:snapToGrid w:val="0"/>
              <w:spacing w:beforeLines="50" w:afterLines="50"/>
              <w:jc w:val="center"/>
              <w:rPr>
                <w:bCs/>
                <w:sz w:val="20"/>
              </w:rPr>
            </w:pPr>
            <w:r>
              <w:rPr>
                <w:rFonts w:hint="eastAsia"/>
                <w:bCs/>
                <w:sz w:val="20"/>
              </w:rPr>
              <w:t>2</w:t>
            </w:r>
          </w:p>
        </w:tc>
        <w:tc>
          <w:tcPr>
            <w:tcW w:w="950" w:type="dxa"/>
            <w:vAlign w:val="center"/>
          </w:tcPr>
          <w:p w14:paraId="3FA9D963">
            <w:pPr>
              <w:pStyle w:val="17"/>
              <w:jc w:val="left"/>
              <w:rPr>
                <w:rFonts w:ascii="宋体" w:hAnsi="宋体"/>
                <w:bCs/>
                <w:color w:val="auto"/>
                <w:sz w:val="20"/>
                <w:szCs w:val="24"/>
              </w:rPr>
            </w:pPr>
            <w:r>
              <w:rPr>
                <w:rFonts w:hint="eastAsia" w:ascii="宋体" w:hAnsi="宋体"/>
                <w:bCs/>
                <w:color w:val="auto"/>
                <w:sz w:val="20"/>
                <w:szCs w:val="24"/>
              </w:rPr>
              <w:t>④</w:t>
            </w:r>
          </w:p>
        </w:tc>
      </w:tr>
      <w:tr w14:paraId="4E49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B0301C4">
            <w:pPr>
              <w:pStyle w:val="17"/>
            </w:pPr>
            <w:r>
              <w:rPr>
                <w:rFonts w:hint="eastAsia"/>
              </w:rPr>
              <w:t>4</w:t>
            </w:r>
          </w:p>
        </w:tc>
        <w:tc>
          <w:tcPr>
            <w:tcW w:w="1882" w:type="dxa"/>
            <w:vAlign w:val="center"/>
          </w:tcPr>
          <w:p w14:paraId="5B6F0F02">
            <w:pPr>
              <w:ind w:firstLine="200" w:firstLineChars="100"/>
              <w:jc w:val="center"/>
              <w:rPr>
                <w:bCs/>
                <w:sz w:val="20"/>
              </w:rPr>
            </w:pPr>
            <w:r>
              <w:rPr>
                <w:rFonts w:hint="eastAsia"/>
                <w:bCs/>
                <w:sz w:val="20"/>
              </w:rPr>
              <w:t>预防接种</w:t>
            </w:r>
          </w:p>
        </w:tc>
        <w:tc>
          <w:tcPr>
            <w:tcW w:w="4061" w:type="dxa"/>
            <w:vAlign w:val="center"/>
          </w:tcPr>
          <w:p w14:paraId="4FB4A650">
            <w:pPr>
              <w:jc w:val="left"/>
              <w:rPr>
                <w:rFonts w:hint="default" w:eastAsia="宋体"/>
                <w:bCs/>
                <w:sz w:val="20"/>
                <w:lang w:val="en-US" w:eastAsia="zh-CN"/>
              </w:rPr>
            </w:pPr>
            <w:r>
              <w:rPr>
                <w:rFonts w:hint="eastAsia"/>
                <w:bCs/>
                <w:sz w:val="20"/>
                <w:lang w:val="en-US" w:eastAsia="zh-CN"/>
              </w:rPr>
              <w:t>掌握预防接种的实施流程及禁忌症。</w:t>
            </w:r>
          </w:p>
        </w:tc>
        <w:tc>
          <w:tcPr>
            <w:tcW w:w="862" w:type="dxa"/>
            <w:vAlign w:val="center"/>
          </w:tcPr>
          <w:p w14:paraId="4A8A8A19">
            <w:pPr>
              <w:snapToGrid w:val="0"/>
              <w:spacing w:beforeLines="50" w:afterLines="50"/>
              <w:jc w:val="center"/>
              <w:rPr>
                <w:bCs/>
                <w:sz w:val="20"/>
              </w:rPr>
            </w:pPr>
            <w:r>
              <w:rPr>
                <w:rFonts w:hint="eastAsia"/>
                <w:bCs/>
                <w:sz w:val="20"/>
              </w:rPr>
              <w:t>2</w:t>
            </w:r>
          </w:p>
        </w:tc>
        <w:tc>
          <w:tcPr>
            <w:tcW w:w="950" w:type="dxa"/>
            <w:vAlign w:val="center"/>
          </w:tcPr>
          <w:p w14:paraId="7BDF51A6">
            <w:pPr>
              <w:pStyle w:val="17"/>
              <w:jc w:val="left"/>
              <w:rPr>
                <w:rFonts w:ascii="宋体" w:hAnsi="宋体"/>
                <w:bCs/>
                <w:color w:val="auto"/>
                <w:sz w:val="20"/>
                <w:szCs w:val="24"/>
              </w:rPr>
            </w:pPr>
            <w:r>
              <w:rPr>
                <w:rFonts w:hint="eastAsia" w:ascii="宋体" w:hAnsi="宋体"/>
                <w:bCs/>
                <w:color w:val="auto"/>
                <w:sz w:val="20"/>
                <w:szCs w:val="24"/>
              </w:rPr>
              <w:t>④</w:t>
            </w:r>
          </w:p>
        </w:tc>
      </w:tr>
      <w:tr w14:paraId="3496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105221C3">
            <w:pPr>
              <w:pStyle w:val="16"/>
            </w:pPr>
            <w:r>
              <w:rPr>
                <w:bCs/>
                <w:sz w:val="20"/>
              </w:rPr>
              <w:t>社区护理评估</w:t>
            </w:r>
            <w:r>
              <w:rPr>
                <w:rFonts w:hint="eastAsia"/>
                <w:bCs/>
                <w:sz w:val="20"/>
                <w:lang w:eastAsia="zh-CN"/>
              </w:rPr>
              <w:t>理解</w:t>
            </w:r>
            <w:r>
              <w:rPr>
                <w:rFonts w:hint="eastAsia"/>
                <w:bCs/>
                <w:sz w:val="20"/>
              </w:rPr>
              <w:t>社区评估的内容及方法</w:t>
            </w: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DB7DA57">
      <w:pPr>
        <w:pStyle w:val="19"/>
        <w:spacing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A76D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36FDC58">
            <w:pPr>
              <w:pStyle w:val="17"/>
              <w:widowControl w:val="0"/>
              <w:ind w:firstLine="420" w:firstLineChars="200"/>
              <w:jc w:val="left"/>
            </w:pPr>
            <w:r>
              <w:rPr>
                <w:rFonts w:hint="eastAsia"/>
              </w:rPr>
              <w:t>在《社区护理学》的思政教学设计中，我们应基于习近平总书记关于卫生与健康的重要论述，强调社区护理工作在维护公共卫生、提升健康中国建设中的重要角色。课程教学应突出预防为主的原则，培养学生的公共卫生意识和社区服务能力。同时，要求学生了解并践行基本医疗卫生事业的公益性，以及在社区护理实践中如何更好地服务于人民，提供全方位全周期的健康服务。通过理论与实践的结合，促进学生形成正确的健康观念、职业道德，以及提高应对公共卫生事件的能力。</w:t>
            </w:r>
          </w:p>
        </w:tc>
      </w:tr>
    </w:tbl>
    <w:p w14:paraId="125B5F35">
      <w:pPr>
        <w:pStyle w:val="19"/>
        <w:spacing w:beforeLines="100" w:line="360" w:lineRule="auto"/>
        <w:rPr>
          <w:rFonts w:hint="eastAsia" w:ascii="黑体" w:hAnsi="宋体"/>
        </w:rPr>
      </w:pPr>
    </w:p>
    <w:p w14:paraId="4A2C0313">
      <w:pPr>
        <w:pStyle w:val="19"/>
        <w:spacing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00"/>
        <w:gridCol w:w="2173"/>
        <w:gridCol w:w="594"/>
        <w:gridCol w:w="594"/>
        <w:gridCol w:w="594"/>
        <w:gridCol w:w="593"/>
        <w:gridCol w:w="594"/>
        <w:gridCol w:w="594"/>
        <w:gridCol w:w="576"/>
        <w:gridCol w:w="689"/>
        <w:gridCol w:w="18"/>
      </w:tblGrid>
      <w:tr w14:paraId="56C7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vMerge w:val="restart"/>
            <w:tcBorders>
              <w:top w:val="single" w:color="auto" w:sz="12" w:space="0"/>
              <w:left w:val="single" w:color="auto" w:sz="12" w:space="0"/>
            </w:tcBorders>
            <w:vAlign w:val="center"/>
          </w:tcPr>
          <w:p w14:paraId="57D90D8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0" w:type="dxa"/>
            <w:vMerge w:val="restart"/>
            <w:tcBorders>
              <w:top w:val="single" w:color="auto" w:sz="12" w:space="0"/>
            </w:tcBorders>
            <w:vAlign w:val="center"/>
          </w:tcPr>
          <w:p w14:paraId="402E8BD1">
            <w:pPr>
              <w:pStyle w:val="19"/>
              <w:widowControl w:val="0"/>
              <w:spacing w:line="240" w:lineRule="auto"/>
              <w:jc w:val="center"/>
              <w:rPr>
                <w:rFonts w:ascii="黑体" w:hAnsi="宋体"/>
                <w:sz w:val="21"/>
                <w:szCs w:val="21"/>
              </w:rPr>
            </w:pPr>
            <w:r>
              <w:rPr>
                <w:rFonts w:hint="eastAsia" w:ascii="黑体" w:hAnsi="黑体"/>
                <w:bCs/>
                <w:sz w:val="21"/>
                <w:szCs w:val="21"/>
              </w:rPr>
              <w:t>占比</w:t>
            </w:r>
          </w:p>
        </w:tc>
        <w:tc>
          <w:tcPr>
            <w:tcW w:w="2173" w:type="dxa"/>
            <w:vMerge w:val="restart"/>
            <w:tcBorders>
              <w:top w:val="single" w:color="auto" w:sz="12" w:space="0"/>
              <w:right w:val="double" w:color="auto" w:sz="4" w:space="0"/>
            </w:tcBorders>
            <w:vAlign w:val="center"/>
          </w:tcPr>
          <w:p w14:paraId="73FA7DAE">
            <w:pPr>
              <w:pStyle w:val="19"/>
              <w:widowControl w:val="0"/>
              <w:jc w:val="center"/>
              <w:rPr>
                <w:rFonts w:ascii="黑体" w:hAnsi="黑体"/>
                <w:bCs/>
                <w:sz w:val="21"/>
                <w:szCs w:val="21"/>
              </w:rPr>
            </w:pPr>
            <w:r>
              <w:rPr>
                <w:rFonts w:hint="eastAsia" w:ascii="黑体" w:hAnsi="黑体"/>
                <w:bCs/>
                <w:sz w:val="21"/>
                <w:szCs w:val="21"/>
              </w:rPr>
              <w:t>考核方式</w:t>
            </w:r>
          </w:p>
        </w:tc>
        <w:tc>
          <w:tcPr>
            <w:tcW w:w="4139" w:type="dxa"/>
            <w:gridSpan w:val="7"/>
            <w:tcBorders>
              <w:top w:val="single" w:color="auto" w:sz="12" w:space="0"/>
            </w:tcBorders>
            <w:vAlign w:val="center"/>
          </w:tcPr>
          <w:p w14:paraId="1674F978">
            <w:pPr>
              <w:pStyle w:val="19"/>
              <w:widowControl w:val="0"/>
              <w:spacing w:line="240" w:lineRule="auto"/>
              <w:jc w:val="center"/>
              <w:rPr>
                <w:rFonts w:ascii="黑体" w:hAnsi="宋体"/>
                <w:sz w:val="21"/>
                <w:szCs w:val="21"/>
              </w:rPr>
            </w:pPr>
            <w:r>
              <w:rPr>
                <w:rFonts w:hint="eastAsia" w:ascii="黑体" w:hAnsi="黑体"/>
                <w:bCs/>
                <w:sz w:val="21"/>
                <w:szCs w:val="21"/>
              </w:rPr>
              <w:t>课程目标</w:t>
            </w:r>
          </w:p>
        </w:tc>
        <w:tc>
          <w:tcPr>
            <w:tcW w:w="689" w:type="dxa"/>
            <w:tcBorders>
              <w:top w:val="single" w:color="auto" w:sz="12" w:space="0"/>
              <w:right w:val="single" w:color="auto" w:sz="12" w:space="0"/>
            </w:tcBorders>
            <w:vAlign w:val="center"/>
          </w:tcPr>
          <w:p w14:paraId="7D3F4E7F">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7BE9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tcBorders>
              <w:left w:val="single" w:color="auto" w:sz="12" w:space="0"/>
            </w:tcBorders>
          </w:tcPr>
          <w:p w14:paraId="5B7EACCF">
            <w:pPr>
              <w:widowControl w:val="0"/>
              <w:snapToGrid w:val="0"/>
              <w:jc w:val="center"/>
              <w:rPr>
                <w:rFonts w:ascii="黑体" w:hAnsi="黑体" w:eastAsia="黑体"/>
                <w:bCs/>
                <w:sz w:val="21"/>
                <w:szCs w:val="21"/>
              </w:rPr>
            </w:pPr>
          </w:p>
        </w:tc>
        <w:tc>
          <w:tcPr>
            <w:tcW w:w="700" w:type="dxa"/>
            <w:vMerge w:val="continue"/>
          </w:tcPr>
          <w:p w14:paraId="439BC861">
            <w:pPr>
              <w:pStyle w:val="19"/>
              <w:widowControl w:val="0"/>
              <w:jc w:val="both"/>
              <w:rPr>
                <w:rFonts w:ascii="黑体" w:hAnsi="黑体"/>
                <w:bCs/>
                <w:sz w:val="21"/>
                <w:szCs w:val="21"/>
              </w:rPr>
            </w:pPr>
          </w:p>
        </w:tc>
        <w:tc>
          <w:tcPr>
            <w:tcW w:w="2173" w:type="dxa"/>
            <w:vMerge w:val="continue"/>
            <w:tcBorders>
              <w:right w:val="double" w:color="auto" w:sz="4" w:space="0"/>
            </w:tcBorders>
          </w:tcPr>
          <w:p w14:paraId="5F669A7E">
            <w:pPr>
              <w:pStyle w:val="19"/>
              <w:widowControl w:val="0"/>
              <w:jc w:val="both"/>
              <w:rPr>
                <w:rFonts w:ascii="黑体" w:hAnsi="黑体"/>
                <w:bCs/>
                <w:sz w:val="21"/>
                <w:szCs w:val="21"/>
              </w:rPr>
            </w:pPr>
          </w:p>
        </w:tc>
        <w:tc>
          <w:tcPr>
            <w:tcW w:w="594" w:type="dxa"/>
            <w:tcBorders>
              <w:left w:val="double" w:color="auto" w:sz="4" w:space="0"/>
            </w:tcBorders>
            <w:vAlign w:val="center"/>
          </w:tcPr>
          <w:p w14:paraId="3EEC8EE0">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594" w:type="dxa"/>
            <w:vAlign w:val="center"/>
          </w:tcPr>
          <w:p w14:paraId="78CEA600">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594" w:type="dxa"/>
            <w:vAlign w:val="center"/>
          </w:tcPr>
          <w:p w14:paraId="6521DE3E">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593" w:type="dxa"/>
            <w:vAlign w:val="center"/>
          </w:tcPr>
          <w:p w14:paraId="5E2B9FF9">
            <w:pPr>
              <w:pStyle w:val="19"/>
              <w:widowControl w:val="0"/>
              <w:spacing w:line="240" w:lineRule="auto"/>
              <w:jc w:val="center"/>
            </w:pPr>
            <w:r>
              <w:rPr>
                <w:rFonts w:hint="eastAsia" w:ascii="黑体" w:hAnsi="黑体"/>
                <w:bCs/>
                <w:sz w:val="21"/>
                <w:szCs w:val="21"/>
              </w:rPr>
              <w:t>4</w:t>
            </w:r>
          </w:p>
        </w:tc>
        <w:tc>
          <w:tcPr>
            <w:tcW w:w="594" w:type="dxa"/>
            <w:vAlign w:val="center"/>
          </w:tcPr>
          <w:p w14:paraId="3EF23097">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594" w:type="dxa"/>
            <w:vAlign w:val="center"/>
          </w:tcPr>
          <w:p w14:paraId="0174C683">
            <w:pPr>
              <w:pStyle w:val="19"/>
              <w:widowControl w:val="0"/>
              <w:spacing w:line="240" w:lineRule="auto"/>
              <w:jc w:val="center"/>
              <w:rPr>
                <w:rFonts w:ascii="黑体" w:hAnsi="黑体"/>
                <w:bCs/>
                <w:sz w:val="21"/>
                <w:szCs w:val="21"/>
              </w:rPr>
            </w:pPr>
            <w:r>
              <w:rPr>
                <w:rFonts w:hint="eastAsia" w:ascii="黑体" w:hAnsi="黑体"/>
                <w:bCs/>
                <w:sz w:val="21"/>
                <w:szCs w:val="21"/>
              </w:rPr>
              <w:t>6</w:t>
            </w:r>
          </w:p>
        </w:tc>
        <w:tc>
          <w:tcPr>
            <w:tcW w:w="576" w:type="dxa"/>
            <w:shd w:val="clear" w:color="auto" w:fill="FFFFFF" w:themeFill="background1"/>
            <w:vAlign w:val="center"/>
          </w:tcPr>
          <w:p w14:paraId="133B9D1A">
            <w:pPr>
              <w:pStyle w:val="19"/>
              <w:widowControl w:val="0"/>
              <w:spacing w:line="240" w:lineRule="auto"/>
              <w:jc w:val="center"/>
              <w:rPr>
                <w:rFonts w:ascii="黑体" w:hAnsi="黑体"/>
                <w:bCs/>
                <w:sz w:val="21"/>
                <w:szCs w:val="21"/>
              </w:rPr>
            </w:pPr>
            <w:r>
              <w:rPr>
                <w:rFonts w:hint="eastAsia" w:ascii="黑体" w:hAnsi="黑体"/>
                <w:bCs/>
                <w:sz w:val="21"/>
                <w:szCs w:val="21"/>
              </w:rPr>
              <w:t>7</w:t>
            </w:r>
          </w:p>
        </w:tc>
        <w:tc>
          <w:tcPr>
            <w:tcW w:w="707" w:type="dxa"/>
            <w:gridSpan w:val="2"/>
            <w:tcBorders>
              <w:right w:val="single" w:color="auto" w:sz="12" w:space="0"/>
            </w:tcBorders>
            <w:shd w:val="clear" w:color="auto" w:fill="FFFFFF" w:themeFill="background1"/>
            <w:vAlign w:val="center"/>
          </w:tcPr>
          <w:p w14:paraId="18730A1A">
            <w:pPr>
              <w:pStyle w:val="19"/>
              <w:widowControl w:val="0"/>
              <w:spacing w:line="240" w:lineRule="auto"/>
              <w:jc w:val="center"/>
              <w:rPr>
                <w:rFonts w:ascii="黑体" w:hAnsi="黑体"/>
                <w:bCs/>
                <w:sz w:val="21"/>
                <w:szCs w:val="21"/>
              </w:rPr>
            </w:pPr>
          </w:p>
        </w:tc>
      </w:tr>
      <w:tr w14:paraId="0A07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04E6B380">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00" w:type="dxa"/>
            <w:vAlign w:val="center"/>
          </w:tcPr>
          <w:p w14:paraId="74B098E1">
            <w:pPr>
              <w:pStyle w:val="17"/>
              <w:widowControl w:val="0"/>
            </w:pPr>
            <w:r>
              <w:rPr>
                <w:rFonts w:hint="eastAsia"/>
                <w:lang w:val="en-US" w:eastAsia="zh-CN"/>
              </w:rPr>
              <w:t>4</w:t>
            </w:r>
            <w:r>
              <w:rPr>
                <w:rFonts w:hint="eastAsia"/>
              </w:rPr>
              <w:t>0%</w:t>
            </w:r>
          </w:p>
        </w:tc>
        <w:tc>
          <w:tcPr>
            <w:tcW w:w="2173" w:type="dxa"/>
            <w:tcBorders>
              <w:right w:val="double" w:color="auto" w:sz="4" w:space="0"/>
            </w:tcBorders>
            <w:vAlign w:val="center"/>
          </w:tcPr>
          <w:p w14:paraId="56E0F241">
            <w:pPr>
              <w:pStyle w:val="17"/>
              <w:widowControl w:val="0"/>
              <w:rPr>
                <w:rFonts w:hint="default" w:eastAsia="宋体"/>
                <w:lang w:val="en-US" w:eastAsia="zh-CN"/>
              </w:rPr>
            </w:pPr>
            <w:r>
              <w:rPr>
                <w:rFonts w:hint="eastAsia"/>
                <w:lang w:val="en-US" w:eastAsia="zh-CN"/>
              </w:rPr>
              <w:t>随堂测验</w:t>
            </w:r>
          </w:p>
        </w:tc>
        <w:tc>
          <w:tcPr>
            <w:tcW w:w="594" w:type="dxa"/>
            <w:tcBorders>
              <w:left w:val="double" w:color="auto" w:sz="4" w:space="0"/>
            </w:tcBorders>
            <w:vAlign w:val="center"/>
          </w:tcPr>
          <w:p w14:paraId="64665A89">
            <w:pPr>
              <w:pStyle w:val="17"/>
              <w:widowControl w:val="0"/>
              <w:rPr>
                <w:rFonts w:hint="default" w:eastAsia="宋体"/>
                <w:lang w:val="en-US" w:eastAsia="zh-CN"/>
              </w:rPr>
            </w:pPr>
            <w:r>
              <w:rPr>
                <w:rFonts w:hint="eastAsia"/>
                <w:lang w:val="en-US" w:eastAsia="zh-CN"/>
              </w:rPr>
              <w:t>40</w:t>
            </w:r>
          </w:p>
        </w:tc>
        <w:tc>
          <w:tcPr>
            <w:tcW w:w="594" w:type="dxa"/>
            <w:vAlign w:val="center"/>
          </w:tcPr>
          <w:p w14:paraId="5F264267">
            <w:pPr>
              <w:pStyle w:val="17"/>
              <w:widowControl w:val="0"/>
              <w:rPr>
                <w:rFonts w:hint="eastAsia" w:eastAsia="宋体"/>
                <w:lang w:val="en-US" w:eastAsia="zh-CN"/>
              </w:rPr>
            </w:pPr>
          </w:p>
        </w:tc>
        <w:tc>
          <w:tcPr>
            <w:tcW w:w="594" w:type="dxa"/>
            <w:vAlign w:val="center"/>
          </w:tcPr>
          <w:p w14:paraId="108A6598">
            <w:pPr>
              <w:pStyle w:val="17"/>
              <w:widowControl w:val="0"/>
            </w:pPr>
          </w:p>
        </w:tc>
        <w:tc>
          <w:tcPr>
            <w:tcW w:w="593" w:type="dxa"/>
            <w:vAlign w:val="center"/>
          </w:tcPr>
          <w:p w14:paraId="078DAA10">
            <w:pPr>
              <w:pStyle w:val="17"/>
              <w:widowControl w:val="0"/>
            </w:pPr>
            <w:r>
              <w:rPr>
                <w:rFonts w:hint="eastAsia"/>
                <w:lang w:val="en-US" w:eastAsia="zh-CN"/>
              </w:rPr>
              <w:t>2</w:t>
            </w:r>
            <w:r>
              <w:rPr>
                <w:rFonts w:hint="eastAsia"/>
              </w:rPr>
              <w:t>0</w:t>
            </w:r>
          </w:p>
        </w:tc>
        <w:tc>
          <w:tcPr>
            <w:tcW w:w="594" w:type="dxa"/>
            <w:vAlign w:val="center"/>
          </w:tcPr>
          <w:p w14:paraId="2BC0BCE7">
            <w:pPr>
              <w:pStyle w:val="17"/>
              <w:widowControl w:val="0"/>
            </w:pPr>
            <w:r>
              <w:rPr>
                <w:rFonts w:hint="eastAsia"/>
                <w:lang w:val="en-US" w:eastAsia="zh-CN"/>
              </w:rPr>
              <w:t>2</w:t>
            </w:r>
            <w:r>
              <w:rPr>
                <w:rFonts w:hint="eastAsia"/>
              </w:rPr>
              <w:t>0</w:t>
            </w:r>
          </w:p>
        </w:tc>
        <w:tc>
          <w:tcPr>
            <w:tcW w:w="594" w:type="dxa"/>
            <w:vAlign w:val="center"/>
          </w:tcPr>
          <w:p w14:paraId="0DC6D99B">
            <w:pPr>
              <w:pStyle w:val="17"/>
              <w:widowControl w:val="0"/>
            </w:pPr>
            <w:r>
              <w:rPr>
                <w:rFonts w:hint="eastAsia"/>
              </w:rPr>
              <w:t>10</w:t>
            </w:r>
          </w:p>
        </w:tc>
        <w:tc>
          <w:tcPr>
            <w:tcW w:w="576" w:type="dxa"/>
            <w:shd w:val="clear" w:color="auto" w:fill="FFFFFF" w:themeFill="background1"/>
            <w:vAlign w:val="center"/>
          </w:tcPr>
          <w:p w14:paraId="2997BDCE">
            <w:pPr>
              <w:pStyle w:val="17"/>
              <w:widowControl w:val="0"/>
            </w:pPr>
          </w:p>
        </w:tc>
        <w:tc>
          <w:tcPr>
            <w:tcW w:w="689" w:type="dxa"/>
            <w:tcBorders>
              <w:right w:val="single" w:color="auto" w:sz="12" w:space="0"/>
            </w:tcBorders>
            <w:shd w:val="clear" w:color="auto" w:fill="FFFFFF" w:themeFill="background1"/>
            <w:vAlign w:val="center"/>
          </w:tcPr>
          <w:p w14:paraId="51DD05AF">
            <w:pPr>
              <w:pStyle w:val="17"/>
              <w:widowControl w:val="0"/>
            </w:pPr>
            <w:r>
              <w:rPr>
                <w:rFonts w:hint="eastAsia"/>
              </w:rPr>
              <w:t>1</w:t>
            </w:r>
            <w:r>
              <w:t>00</w:t>
            </w:r>
          </w:p>
        </w:tc>
      </w:tr>
      <w:tr w14:paraId="6026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5BF0A78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0" w:type="dxa"/>
            <w:shd w:val="clear" w:color="auto" w:fill="auto"/>
            <w:vAlign w:val="center"/>
          </w:tcPr>
          <w:p w14:paraId="62E785C5">
            <w:pPr>
              <w:pStyle w:val="17"/>
              <w:widowControl w:val="0"/>
              <w:rPr>
                <w:rFonts w:ascii="Times New Roman" w:hAnsi="Times New Roman" w:eastAsia="宋体" w:cs="宋体"/>
                <w:color w:val="000000"/>
                <w:sz w:val="21"/>
                <w:szCs w:val="21"/>
                <w:lang w:val="en-US" w:eastAsia="zh-CN" w:bidi="ar-SA"/>
              </w:rPr>
            </w:pPr>
            <w:r>
              <w:rPr>
                <w:rFonts w:hint="eastAsia"/>
                <w:lang w:val="en-US" w:eastAsia="zh-CN"/>
              </w:rPr>
              <w:t>2</w:t>
            </w:r>
            <w:r>
              <w:rPr>
                <w:rFonts w:hint="eastAsia"/>
              </w:rPr>
              <w:t>0</w:t>
            </w:r>
            <w:r>
              <w:t>%</w:t>
            </w:r>
          </w:p>
        </w:tc>
        <w:tc>
          <w:tcPr>
            <w:tcW w:w="2173" w:type="dxa"/>
            <w:tcBorders>
              <w:right w:val="double" w:color="auto" w:sz="4" w:space="0"/>
            </w:tcBorders>
            <w:shd w:val="clear" w:color="auto" w:fill="auto"/>
            <w:vAlign w:val="center"/>
          </w:tcPr>
          <w:p w14:paraId="093266A1">
            <w:pPr>
              <w:pStyle w:val="17"/>
              <w:widowControl w:val="0"/>
              <w:rPr>
                <w:rFonts w:hint="eastAsia"/>
                <w:lang w:val="en-US" w:eastAsia="zh-CN"/>
              </w:rPr>
            </w:pPr>
            <w:r>
              <w:rPr>
                <w:rFonts w:hint="eastAsia"/>
                <w:lang w:val="en-US" w:eastAsia="zh-CN"/>
              </w:rPr>
              <w:t>课堂展示</w:t>
            </w:r>
          </w:p>
        </w:tc>
        <w:tc>
          <w:tcPr>
            <w:tcW w:w="594" w:type="dxa"/>
            <w:tcBorders>
              <w:left w:val="double" w:color="auto" w:sz="4" w:space="0"/>
            </w:tcBorders>
            <w:vAlign w:val="center"/>
          </w:tcPr>
          <w:p w14:paraId="31E4914D">
            <w:pPr>
              <w:pStyle w:val="17"/>
              <w:widowControl w:val="0"/>
            </w:pPr>
            <w:r>
              <w:rPr>
                <w:rFonts w:hint="eastAsia"/>
              </w:rPr>
              <w:t>10</w:t>
            </w:r>
          </w:p>
        </w:tc>
        <w:tc>
          <w:tcPr>
            <w:tcW w:w="594" w:type="dxa"/>
            <w:vAlign w:val="center"/>
          </w:tcPr>
          <w:p w14:paraId="100CC14F">
            <w:pPr>
              <w:pStyle w:val="17"/>
              <w:widowControl w:val="0"/>
            </w:pPr>
            <w:r>
              <w:rPr>
                <w:rFonts w:hint="eastAsia"/>
                <w:lang w:val="en-US" w:eastAsia="zh-CN"/>
              </w:rPr>
              <w:t>2</w:t>
            </w:r>
            <w:r>
              <w:rPr>
                <w:rFonts w:hint="eastAsia"/>
              </w:rPr>
              <w:t>0</w:t>
            </w:r>
          </w:p>
        </w:tc>
        <w:tc>
          <w:tcPr>
            <w:tcW w:w="594" w:type="dxa"/>
            <w:vAlign w:val="center"/>
          </w:tcPr>
          <w:p w14:paraId="33B225FB">
            <w:pPr>
              <w:pStyle w:val="17"/>
              <w:widowControl w:val="0"/>
              <w:rPr>
                <w:rFonts w:hint="default" w:eastAsia="宋体"/>
                <w:lang w:val="en-US" w:eastAsia="zh-CN"/>
              </w:rPr>
            </w:pPr>
            <w:r>
              <w:rPr>
                <w:rFonts w:hint="eastAsia"/>
                <w:lang w:val="en-US" w:eastAsia="zh-CN"/>
              </w:rPr>
              <w:t>20</w:t>
            </w:r>
          </w:p>
        </w:tc>
        <w:tc>
          <w:tcPr>
            <w:tcW w:w="593" w:type="dxa"/>
            <w:vAlign w:val="center"/>
          </w:tcPr>
          <w:p w14:paraId="6576E13E">
            <w:pPr>
              <w:pStyle w:val="17"/>
              <w:widowControl w:val="0"/>
              <w:rPr>
                <w:rFonts w:hint="default" w:eastAsia="宋体"/>
                <w:lang w:val="en-US" w:eastAsia="zh-CN"/>
              </w:rPr>
            </w:pPr>
            <w:r>
              <w:rPr>
                <w:rFonts w:hint="eastAsia"/>
                <w:lang w:val="en-US" w:eastAsia="zh-CN"/>
              </w:rPr>
              <w:t>30</w:t>
            </w:r>
          </w:p>
        </w:tc>
        <w:tc>
          <w:tcPr>
            <w:tcW w:w="594" w:type="dxa"/>
            <w:vAlign w:val="center"/>
          </w:tcPr>
          <w:p w14:paraId="7A1459D5">
            <w:pPr>
              <w:pStyle w:val="17"/>
              <w:widowControl w:val="0"/>
            </w:pPr>
          </w:p>
        </w:tc>
        <w:tc>
          <w:tcPr>
            <w:tcW w:w="594" w:type="dxa"/>
            <w:vAlign w:val="center"/>
          </w:tcPr>
          <w:p w14:paraId="07EDA585">
            <w:pPr>
              <w:pStyle w:val="17"/>
              <w:widowControl w:val="0"/>
            </w:pPr>
          </w:p>
        </w:tc>
        <w:tc>
          <w:tcPr>
            <w:tcW w:w="576" w:type="dxa"/>
            <w:shd w:val="clear" w:color="auto" w:fill="FFFFFF" w:themeFill="background1"/>
            <w:vAlign w:val="center"/>
          </w:tcPr>
          <w:p w14:paraId="31D14CE7">
            <w:pPr>
              <w:pStyle w:val="17"/>
              <w:widowControl w:val="0"/>
            </w:pPr>
            <w:r>
              <w:rPr>
                <w:rFonts w:hint="eastAsia"/>
              </w:rPr>
              <w:t>20</w:t>
            </w:r>
          </w:p>
        </w:tc>
        <w:tc>
          <w:tcPr>
            <w:tcW w:w="689" w:type="dxa"/>
            <w:tcBorders>
              <w:right w:val="single" w:color="auto" w:sz="12" w:space="0"/>
            </w:tcBorders>
            <w:shd w:val="clear" w:color="auto" w:fill="FFFFFF" w:themeFill="background1"/>
            <w:vAlign w:val="center"/>
          </w:tcPr>
          <w:p w14:paraId="47D41521">
            <w:pPr>
              <w:pStyle w:val="17"/>
              <w:widowControl w:val="0"/>
            </w:pPr>
            <w:r>
              <w:rPr>
                <w:rFonts w:hint="eastAsia"/>
              </w:rPr>
              <w:t>1</w:t>
            </w:r>
            <w:r>
              <w:t>00</w:t>
            </w:r>
          </w:p>
        </w:tc>
      </w:tr>
      <w:tr w14:paraId="163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2B4C8BF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0" w:type="dxa"/>
            <w:vAlign w:val="center"/>
          </w:tcPr>
          <w:p w14:paraId="6068B935">
            <w:pPr>
              <w:pStyle w:val="17"/>
              <w:widowControl w:val="0"/>
            </w:pPr>
            <w:r>
              <w:rPr>
                <w:rFonts w:hint="eastAsia"/>
                <w:lang w:val="en-US" w:eastAsia="zh-CN"/>
              </w:rPr>
              <w:t>2</w:t>
            </w:r>
            <w:r>
              <w:rPr>
                <w:rFonts w:hint="eastAsia"/>
              </w:rPr>
              <w:t>0%</w:t>
            </w:r>
          </w:p>
        </w:tc>
        <w:tc>
          <w:tcPr>
            <w:tcW w:w="2173" w:type="dxa"/>
            <w:tcBorders>
              <w:right w:val="double" w:color="auto" w:sz="4" w:space="0"/>
            </w:tcBorders>
            <w:vAlign w:val="center"/>
          </w:tcPr>
          <w:p w14:paraId="7CE3964F">
            <w:pPr>
              <w:pStyle w:val="17"/>
              <w:widowControl w:val="0"/>
              <w:rPr>
                <w:rFonts w:hint="eastAsia"/>
                <w:lang w:val="en-US" w:eastAsia="zh-CN"/>
              </w:rPr>
            </w:pPr>
            <w:r>
              <w:rPr>
                <w:rFonts w:hint="eastAsia"/>
                <w:lang w:val="en-US" w:eastAsia="zh-CN"/>
              </w:rPr>
              <w:t>课堂小测验</w:t>
            </w:r>
          </w:p>
        </w:tc>
        <w:tc>
          <w:tcPr>
            <w:tcW w:w="594" w:type="dxa"/>
            <w:tcBorders>
              <w:left w:val="double" w:color="auto" w:sz="4" w:space="0"/>
            </w:tcBorders>
            <w:vAlign w:val="center"/>
          </w:tcPr>
          <w:p w14:paraId="31C93003">
            <w:pPr>
              <w:pStyle w:val="17"/>
              <w:widowControl w:val="0"/>
              <w:rPr>
                <w:rFonts w:hint="default" w:eastAsia="宋体"/>
                <w:lang w:val="en-US" w:eastAsia="zh-CN"/>
              </w:rPr>
            </w:pPr>
            <w:r>
              <w:rPr>
                <w:rFonts w:hint="eastAsia"/>
                <w:lang w:val="en-US" w:eastAsia="zh-CN"/>
              </w:rPr>
              <w:t>70</w:t>
            </w:r>
          </w:p>
        </w:tc>
        <w:tc>
          <w:tcPr>
            <w:tcW w:w="594" w:type="dxa"/>
            <w:vAlign w:val="center"/>
          </w:tcPr>
          <w:p w14:paraId="2CEBD598">
            <w:pPr>
              <w:pStyle w:val="17"/>
              <w:widowControl w:val="0"/>
            </w:pPr>
          </w:p>
        </w:tc>
        <w:tc>
          <w:tcPr>
            <w:tcW w:w="594" w:type="dxa"/>
            <w:vAlign w:val="center"/>
          </w:tcPr>
          <w:p w14:paraId="1594D362">
            <w:pPr>
              <w:pStyle w:val="17"/>
              <w:widowControl w:val="0"/>
            </w:pPr>
            <w:r>
              <w:rPr>
                <w:rFonts w:hint="eastAsia"/>
              </w:rPr>
              <w:t>10</w:t>
            </w:r>
          </w:p>
        </w:tc>
        <w:tc>
          <w:tcPr>
            <w:tcW w:w="593" w:type="dxa"/>
            <w:vAlign w:val="center"/>
          </w:tcPr>
          <w:p w14:paraId="1A5D3CD6">
            <w:pPr>
              <w:pStyle w:val="17"/>
              <w:widowControl w:val="0"/>
            </w:pPr>
            <w:r>
              <w:rPr>
                <w:rFonts w:hint="eastAsia"/>
              </w:rPr>
              <w:t>10</w:t>
            </w:r>
          </w:p>
        </w:tc>
        <w:tc>
          <w:tcPr>
            <w:tcW w:w="594" w:type="dxa"/>
            <w:vAlign w:val="center"/>
          </w:tcPr>
          <w:p w14:paraId="6F670737">
            <w:pPr>
              <w:pStyle w:val="17"/>
              <w:widowControl w:val="0"/>
            </w:pPr>
          </w:p>
        </w:tc>
        <w:tc>
          <w:tcPr>
            <w:tcW w:w="594" w:type="dxa"/>
            <w:vAlign w:val="center"/>
          </w:tcPr>
          <w:p w14:paraId="6CDA31AF">
            <w:pPr>
              <w:pStyle w:val="17"/>
              <w:widowControl w:val="0"/>
            </w:pPr>
          </w:p>
        </w:tc>
        <w:tc>
          <w:tcPr>
            <w:tcW w:w="576" w:type="dxa"/>
            <w:shd w:val="clear" w:color="auto" w:fill="FFFFFF" w:themeFill="background1"/>
            <w:vAlign w:val="center"/>
          </w:tcPr>
          <w:p w14:paraId="6C085849">
            <w:pPr>
              <w:pStyle w:val="17"/>
              <w:widowControl w:val="0"/>
              <w:rPr>
                <w:rFonts w:hint="default" w:eastAsia="宋体"/>
                <w:lang w:val="en-US" w:eastAsia="zh-CN"/>
              </w:rPr>
            </w:pPr>
            <w:r>
              <w:rPr>
                <w:rFonts w:hint="eastAsia"/>
                <w:lang w:val="en-US" w:eastAsia="zh-CN"/>
              </w:rPr>
              <w:t>10</w:t>
            </w:r>
          </w:p>
        </w:tc>
        <w:tc>
          <w:tcPr>
            <w:tcW w:w="689" w:type="dxa"/>
            <w:tcBorders>
              <w:right w:val="single" w:color="auto" w:sz="12" w:space="0"/>
            </w:tcBorders>
            <w:shd w:val="clear" w:color="auto" w:fill="FFFFFF" w:themeFill="background1"/>
            <w:vAlign w:val="center"/>
          </w:tcPr>
          <w:p w14:paraId="2C4C5A9B">
            <w:pPr>
              <w:pStyle w:val="17"/>
              <w:widowControl w:val="0"/>
            </w:pPr>
            <w:r>
              <w:rPr>
                <w:rFonts w:hint="eastAsia"/>
              </w:rPr>
              <w:t>1</w:t>
            </w:r>
            <w:r>
              <w:t>00</w:t>
            </w:r>
          </w:p>
        </w:tc>
      </w:tr>
      <w:tr w14:paraId="245B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09C8DD5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0" w:type="dxa"/>
            <w:shd w:val="clear" w:color="auto" w:fill="auto"/>
            <w:vAlign w:val="center"/>
          </w:tcPr>
          <w:p w14:paraId="548F08AE">
            <w:pPr>
              <w:pStyle w:val="17"/>
              <w:widowControl w:val="0"/>
              <w:rPr>
                <w:rFonts w:hint="eastAsia" w:ascii="Times New Roman" w:hAnsi="Times New Roman" w:eastAsia="宋体" w:cs="宋体"/>
                <w:color w:val="000000"/>
                <w:sz w:val="21"/>
                <w:szCs w:val="21"/>
                <w:lang w:val="en-US" w:eastAsia="zh-CN" w:bidi="ar-SA"/>
              </w:rPr>
            </w:pPr>
            <w:r>
              <w:rPr>
                <w:rFonts w:hint="default"/>
                <w:lang w:val="en-US"/>
              </w:rPr>
              <w:t>2</w:t>
            </w:r>
            <w:r>
              <w:rPr>
                <w:rFonts w:hint="eastAsia"/>
              </w:rPr>
              <w:t>0%</w:t>
            </w:r>
          </w:p>
        </w:tc>
        <w:tc>
          <w:tcPr>
            <w:tcW w:w="2173" w:type="dxa"/>
            <w:tcBorders>
              <w:right w:val="double" w:color="auto" w:sz="4" w:space="0"/>
            </w:tcBorders>
            <w:shd w:val="clear" w:color="auto" w:fill="auto"/>
            <w:vAlign w:val="center"/>
          </w:tcPr>
          <w:p w14:paraId="3B6612E5">
            <w:pPr>
              <w:pStyle w:val="17"/>
              <w:widowControl w:val="0"/>
              <w:rPr>
                <w:rFonts w:hint="eastAsia"/>
                <w:lang w:val="en-US" w:eastAsia="zh-CN"/>
              </w:rPr>
            </w:pPr>
            <w:r>
              <w:rPr>
                <w:rFonts w:hint="eastAsia"/>
                <w:lang w:val="en-US" w:eastAsia="zh-CN"/>
              </w:rPr>
              <w:t>实训报告</w:t>
            </w:r>
          </w:p>
        </w:tc>
        <w:tc>
          <w:tcPr>
            <w:tcW w:w="594" w:type="dxa"/>
            <w:tcBorders>
              <w:left w:val="double" w:color="auto" w:sz="4" w:space="0"/>
            </w:tcBorders>
            <w:vAlign w:val="center"/>
          </w:tcPr>
          <w:p w14:paraId="4F171957">
            <w:pPr>
              <w:pStyle w:val="17"/>
              <w:widowControl w:val="0"/>
            </w:pPr>
            <w:r>
              <w:rPr>
                <w:rFonts w:hint="eastAsia"/>
              </w:rPr>
              <w:t>20</w:t>
            </w:r>
          </w:p>
        </w:tc>
        <w:tc>
          <w:tcPr>
            <w:tcW w:w="594" w:type="dxa"/>
            <w:vAlign w:val="center"/>
          </w:tcPr>
          <w:p w14:paraId="56F0C733">
            <w:pPr>
              <w:pStyle w:val="17"/>
              <w:widowControl w:val="0"/>
            </w:pPr>
          </w:p>
        </w:tc>
        <w:tc>
          <w:tcPr>
            <w:tcW w:w="594" w:type="dxa"/>
            <w:vAlign w:val="center"/>
          </w:tcPr>
          <w:p w14:paraId="7497B07F">
            <w:pPr>
              <w:pStyle w:val="17"/>
              <w:widowControl w:val="0"/>
            </w:pPr>
            <w:r>
              <w:rPr>
                <w:rFonts w:hint="eastAsia"/>
              </w:rPr>
              <w:t>20</w:t>
            </w:r>
          </w:p>
        </w:tc>
        <w:tc>
          <w:tcPr>
            <w:tcW w:w="593" w:type="dxa"/>
            <w:vAlign w:val="center"/>
          </w:tcPr>
          <w:p w14:paraId="599CABED">
            <w:pPr>
              <w:pStyle w:val="17"/>
              <w:widowControl w:val="0"/>
            </w:pPr>
            <w:r>
              <w:rPr>
                <w:rFonts w:hint="eastAsia"/>
              </w:rPr>
              <w:t>20</w:t>
            </w:r>
          </w:p>
        </w:tc>
        <w:tc>
          <w:tcPr>
            <w:tcW w:w="594" w:type="dxa"/>
            <w:vAlign w:val="center"/>
          </w:tcPr>
          <w:p w14:paraId="499FEA30">
            <w:pPr>
              <w:pStyle w:val="17"/>
              <w:widowControl w:val="0"/>
              <w:rPr>
                <w:rFonts w:hint="default" w:eastAsia="宋体"/>
                <w:lang w:val="en-US" w:eastAsia="zh-CN"/>
              </w:rPr>
            </w:pPr>
            <w:r>
              <w:rPr>
                <w:rFonts w:hint="eastAsia"/>
                <w:lang w:val="en-US" w:eastAsia="zh-CN"/>
              </w:rPr>
              <w:t>20</w:t>
            </w:r>
          </w:p>
        </w:tc>
        <w:tc>
          <w:tcPr>
            <w:tcW w:w="594" w:type="dxa"/>
            <w:vAlign w:val="center"/>
          </w:tcPr>
          <w:p w14:paraId="1F2A1355">
            <w:pPr>
              <w:pStyle w:val="17"/>
              <w:widowControl w:val="0"/>
            </w:pPr>
          </w:p>
        </w:tc>
        <w:tc>
          <w:tcPr>
            <w:tcW w:w="576" w:type="dxa"/>
            <w:shd w:val="clear" w:color="auto" w:fill="FFFFFF" w:themeFill="background1"/>
            <w:vAlign w:val="center"/>
          </w:tcPr>
          <w:p w14:paraId="07DE3A6D">
            <w:pPr>
              <w:pStyle w:val="17"/>
              <w:widowControl w:val="0"/>
              <w:rPr>
                <w:rFonts w:hint="default" w:eastAsia="宋体"/>
                <w:lang w:val="en-US" w:eastAsia="zh-CN"/>
              </w:rPr>
            </w:pPr>
            <w:r>
              <w:rPr>
                <w:rFonts w:hint="eastAsia"/>
                <w:lang w:val="en-US" w:eastAsia="zh-CN"/>
              </w:rPr>
              <w:t>20</w:t>
            </w:r>
          </w:p>
        </w:tc>
        <w:tc>
          <w:tcPr>
            <w:tcW w:w="689" w:type="dxa"/>
            <w:tcBorders>
              <w:right w:val="single" w:color="auto" w:sz="12" w:space="0"/>
            </w:tcBorders>
            <w:shd w:val="clear" w:color="auto" w:fill="FFFFFF" w:themeFill="background1"/>
            <w:vAlign w:val="center"/>
          </w:tcPr>
          <w:p w14:paraId="0C72F5E0">
            <w:pPr>
              <w:pStyle w:val="17"/>
              <w:widowControl w:val="0"/>
            </w:pPr>
            <w:r>
              <w:rPr>
                <w:rFonts w:hint="eastAsia"/>
              </w:rPr>
              <w:t>1</w:t>
            </w:r>
            <w:r>
              <w:t>00</w:t>
            </w:r>
          </w:p>
        </w:tc>
      </w:tr>
      <w:tr w14:paraId="0BF9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bottom w:val="single" w:color="auto" w:sz="12" w:space="0"/>
            </w:tcBorders>
            <w:vAlign w:val="center"/>
          </w:tcPr>
          <w:p w14:paraId="4387C89C">
            <w:pPr>
              <w:widowControl w:val="0"/>
              <w:snapToGrid w:val="0"/>
              <w:jc w:val="center"/>
              <w:rPr>
                <w:rFonts w:ascii="Arial" w:hAnsi="Arial" w:eastAsia="黑体" w:cs="Arial"/>
                <w:bCs/>
                <w:sz w:val="21"/>
                <w:szCs w:val="21"/>
              </w:rPr>
            </w:pPr>
          </w:p>
        </w:tc>
        <w:tc>
          <w:tcPr>
            <w:tcW w:w="700" w:type="dxa"/>
            <w:tcBorders>
              <w:bottom w:val="single" w:color="auto" w:sz="12" w:space="0"/>
            </w:tcBorders>
            <w:shd w:val="clear" w:color="auto" w:fill="auto"/>
            <w:vAlign w:val="center"/>
          </w:tcPr>
          <w:p w14:paraId="3E6C2309">
            <w:pPr>
              <w:pStyle w:val="17"/>
              <w:widowControl w:val="0"/>
              <w:rPr>
                <w:rFonts w:hint="eastAsia" w:ascii="Times New Roman" w:hAnsi="Times New Roman" w:eastAsia="宋体" w:cs="宋体"/>
                <w:color w:val="000000"/>
                <w:sz w:val="21"/>
                <w:szCs w:val="21"/>
                <w:lang w:val="en-US" w:eastAsia="zh-CN" w:bidi="ar-SA"/>
              </w:rPr>
            </w:pPr>
          </w:p>
        </w:tc>
        <w:tc>
          <w:tcPr>
            <w:tcW w:w="2173" w:type="dxa"/>
            <w:tcBorders>
              <w:bottom w:val="single" w:color="auto" w:sz="12" w:space="0"/>
              <w:right w:val="double" w:color="auto" w:sz="4" w:space="0"/>
            </w:tcBorders>
            <w:shd w:val="clear" w:color="auto" w:fill="auto"/>
            <w:vAlign w:val="center"/>
          </w:tcPr>
          <w:p w14:paraId="524116D5">
            <w:pPr>
              <w:pStyle w:val="17"/>
              <w:widowControl w:val="0"/>
              <w:rPr>
                <w:rFonts w:hint="eastAsia" w:ascii="Times New Roman" w:hAnsi="Times New Roman" w:eastAsia="宋体" w:cs="宋体"/>
                <w:color w:val="000000"/>
                <w:sz w:val="21"/>
                <w:szCs w:val="21"/>
                <w:lang w:val="en-US" w:eastAsia="zh-CN" w:bidi="ar-SA"/>
              </w:rPr>
            </w:pPr>
          </w:p>
        </w:tc>
        <w:tc>
          <w:tcPr>
            <w:tcW w:w="594" w:type="dxa"/>
            <w:tcBorders>
              <w:left w:val="double" w:color="auto" w:sz="4" w:space="0"/>
              <w:bottom w:val="single" w:color="auto" w:sz="12" w:space="0"/>
            </w:tcBorders>
            <w:vAlign w:val="center"/>
          </w:tcPr>
          <w:p w14:paraId="12992E6A">
            <w:pPr>
              <w:pStyle w:val="17"/>
              <w:widowControl w:val="0"/>
              <w:rPr>
                <w:rFonts w:hint="eastAsia"/>
              </w:rPr>
            </w:pPr>
          </w:p>
        </w:tc>
        <w:tc>
          <w:tcPr>
            <w:tcW w:w="594" w:type="dxa"/>
            <w:tcBorders>
              <w:bottom w:val="single" w:color="auto" w:sz="12" w:space="0"/>
            </w:tcBorders>
            <w:vAlign w:val="center"/>
          </w:tcPr>
          <w:p w14:paraId="2C3001BD">
            <w:pPr>
              <w:pStyle w:val="17"/>
              <w:widowControl w:val="0"/>
              <w:rPr>
                <w:rFonts w:hint="eastAsia"/>
              </w:rPr>
            </w:pPr>
          </w:p>
        </w:tc>
        <w:tc>
          <w:tcPr>
            <w:tcW w:w="594" w:type="dxa"/>
            <w:tcBorders>
              <w:bottom w:val="single" w:color="auto" w:sz="12" w:space="0"/>
            </w:tcBorders>
            <w:vAlign w:val="center"/>
          </w:tcPr>
          <w:p w14:paraId="46F747C5">
            <w:pPr>
              <w:pStyle w:val="17"/>
              <w:widowControl w:val="0"/>
              <w:rPr>
                <w:rFonts w:hint="eastAsia"/>
              </w:rPr>
            </w:pPr>
          </w:p>
        </w:tc>
        <w:tc>
          <w:tcPr>
            <w:tcW w:w="593" w:type="dxa"/>
            <w:tcBorders>
              <w:bottom w:val="single" w:color="auto" w:sz="12" w:space="0"/>
            </w:tcBorders>
            <w:vAlign w:val="center"/>
          </w:tcPr>
          <w:p w14:paraId="4162926D">
            <w:pPr>
              <w:pStyle w:val="17"/>
              <w:widowControl w:val="0"/>
              <w:rPr>
                <w:rFonts w:hint="eastAsia"/>
              </w:rPr>
            </w:pPr>
          </w:p>
        </w:tc>
        <w:tc>
          <w:tcPr>
            <w:tcW w:w="594" w:type="dxa"/>
            <w:tcBorders>
              <w:bottom w:val="single" w:color="auto" w:sz="12" w:space="0"/>
            </w:tcBorders>
            <w:vAlign w:val="center"/>
          </w:tcPr>
          <w:p w14:paraId="3F2075A8">
            <w:pPr>
              <w:pStyle w:val="17"/>
              <w:widowControl w:val="0"/>
              <w:rPr>
                <w:rFonts w:hint="eastAsia"/>
              </w:rPr>
            </w:pPr>
          </w:p>
        </w:tc>
        <w:tc>
          <w:tcPr>
            <w:tcW w:w="594" w:type="dxa"/>
            <w:tcBorders>
              <w:bottom w:val="single" w:color="auto" w:sz="12" w:space="0"/>
            </w:tcBorders>
            <w:vAlign w:val="center"/>
          </w:tcPr>
          <w:p w14:paraId="76522028">
            <w:pPr>
              <w:pStyle w:val="17"/>
              <w:widowControl w:val="0"/>
              <w:rPr>
                <w:rFonts w:hint="eastAsia"/>
              </w:rPr>
            </w:pPr>
          </w:p>
        </w:tc>
        <w:tc>
          <w:tcPr>
            <w:tcW w:w="576" w:type="dxa"/>
            <w:tcBorders>
              <w:bottom w:val="single" w:color="auto" w:sz="12" w:space="0"/>
            </w:tcBorders>
            <w:shd w:val="clear" w:color="auto" w:fill="FFFFFF" w:themeFill="background1"/>
            <w:vAlign w:val="center"/>
          </w:tcPr>
          <w:p w14:paraId="13EC1F10">
            <w:pPr>
              <w:pStyle w:val="17"/>
              <w:widowControl w:val="0"/>
            </w:pPr>
          </w:p>
        </w:tc>
        <w:tc>
          <w:tcPr>
            <w:tcW w:w="689" w:type="dxa"/>
            <w:tcBorders>
              <w:bottom w:val="single" w:color="auto" w:sz="12" w:space="0"/>
              <w:right w:val="single" w:color="auto" w:sz="12" w:space="0"/>
            </w:tcBorders>
            <w:shd w:val="clear" w:color="auto" w:fill="FFFFFF" w:themeFill="background1"/>
            <w:vAlign w:val="center"/>
          </w:tcPr>
          <w:p w14:paraId="0CDE6704">
            <w:pPr>
              <w:pStyle w:val="17"/>
              <w:widowControl w:val="0"/>
              <w:rPr>
                <w:rFonts w:hint="eastAsia"/>
              </w:rPr>
            </w:pPr>
          </w:p>
        </w:tc>
      </w:tr>
    </w:tbl>
    <w:p w14:paraId="273367F3">
      <w:pPr>
        <w:pStyle w:val="19"/>
        <w:spacing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99D3A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C186FB7">
            <w:pPr>
              <w:pStyle w:val="17"/>
              <w:widowControl w:val="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无</w:t>
            </w:r>
          </w:p>
          <w:p w14:paraId="2154D8A3">
            <w:pPr>
              <w:pStyle w:val="17"/>
              <w:widowControl w:val="0"/>
              <w:jc w:val="left"/>
              <w:rPr>
                <w:rFonts w:ascii="宋体" w:hAnsi="宋体"/>
                <w:bCs/>
              </w:rPr>
            </w:pPr>
          </w:p>
          <w:p w14:paraId="2A2B4BAD">
            <w:pPr>
              <w:pStyle w:val="17"/>
              <w:widowControl w:val="0"/>
              <w:jc w:val="left"/>
              <w:rPr>
                <w:rFonts w:ascii="黑体"/>
              </w:rPr>
            </w:pPr>
          </w:p>
        </w:tc>
      </w:tr>
    </w:tbl>
    <w:p w14:paraId="436302D2">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08E2AF-0AAC-4AB2-8A49-A4A44AB27643}"/>
  </w:font>
  <w:font w:name="黑体">
    <w:panose1 w:val="02010609060101010101"/>
    <w:charset w:val="86"/>
    <w:family w:val="auto"/>
    <w:pitch w:val="default"/>
    <w:sig w:usb0="800002BF" w:usb1="38CF7CFA" w:usb2="00000016" w:usb3="00000000" w:csb0="00040001" w:csb1="00000000"/>
    <w:embedRegular r:id="rId2" w:fontKey="{6F453A04-6EF7-4647-BA66-4239CE4A7C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3" w:fontKey="{858BE1B9-208B-4E49-88D7-CE2DB810D4CF}"/>
  </w:font>
  <w:font w:name="方正小标宋简体">
    <w:panose1 w:val="02000000000000000000"/>
    <w:charset w:val="86"/>
    <w:family w:val="script"/>
    <w:pitch w:val="default"/>
    <w:sig w:usb0="00000001" w:usb1="08000000" w:usb2="00000000" w:usb3="00000000" w:csb0="00040000" w:csb1="00000000"/>
    <w:embedRegular r:id="rId4" w:fontKey="{9E896398-7330-4157-A87C-8DAED086DA7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4F8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2413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74D5C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7hkpnUAAAACQEA&#10;AA8AAAAAAAAAAQAgAAAAIgAAAGRycy9kb3ducmV2LnhtbFBLAQIUABQAAAAIAIdO4kBFNI9OVwIA&#10;AJ0EAAAOAAAAAAAAAAEAIAAAACMBAABkcnMvZTJvRG9jLnhtbFBLBQYAAAAABgAGAFkBAADsBQAA&#10;AAA=&#10;">
              <v:fill on="t" focussize="0,0"/>
              <v:stroke on="f" weight="0.5pt"/>
              <v:imagedata o:title=""/>
              <o:lock v:ext="edit" aspectratio="f"/>
              <v:textbox>
                <w:txbxContent>
                  <w:p w14:paraId="674D5C34">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TcwZjMxZmZhNWFmYmI2M2UyYjUyYjAzNTU2YzcifQ=="/>
  </w:docVars>
  <w:rsids>
    <w:rsidRoot w:val="00B7651F"/>
    <w:rsid w:val="000203E0"/>
    <w:rsid w:val="000210E0"/>
    <w:rsid w:val="00033082"/>
    <w:rsid w:val="00044088"/>
    <w:rsid w:val="00052EEC"/>
    <w:rsid w:val="00053590"/>
    <w:rsid w:val="0006001D"/>
    <w:rsid w:val="00066041"/>
    <w:rsid w:val="000662F5"/>
    <w:rsid w:val="000715C2"/>
    <w:rsid w:val="00076794"/>
    <w:rsid w:val="0008122A"/>
    <w:rsid w:val="00087488"/>
    <w:rsid w:val="0009050A"/>
    <w:rsid w:val="000916EA"/>
    <w:rsid w:val="0009721F"/>
    <w:rsid w:val="000A4E73"/>
    <w:rsid w:val="000B1BD2"/>
    <w:rsid w:val="000C0F0D"/>
    <w:rsid w:val="000C13BC"/>
    <w:rsid w:val="000D1A86"/>
    <w:rsid w:val="000D28E5"/>
    <w:rsid w:val="000D34D7"/>
    <w:rsid w:val="00100515"/>
    <w:rsid w:val="00100633"/>
    <w:rsid w:val="001072BC"/>
    <w:rsid w:val="00114BD6"/>
    <w:rsid w:val="0012396B"/>
    <w:rsid w:val="00130F6D"/>
    <w:rsid w:val="00133554"/>
    <w:rsid w:val="00144082"/>
    <w:rsid w:val="0016381F"/>
    <w:rsid w:val="00163A48"/>
    <w:rsid w:val="00164E36"/>
    <w:rsid w:val="001678A2"/>
    <w:rsid w:val="00183AA1"/>
    <w:rsid w:val="0018767C"/>
    <w:rsid w:val="001A135C"/>
    <w:rsid w:val="001B0D49"/>
    <w:rsid w:val="001B546F"/>
    <w:rsid w:val="001C0F80"/>
    <w:rsid w:val="001C16FC"/>
    <w:rsid w:val="001C2E3E"/>
    <w:rsid w:val="001C388D"/>
    <w:rsid w:val="001C7F32"/>
    <w:rsid w:val="001E0494"/>
    <w:rsid w:val="001E1D2D"/>
    <w:rsid w:val="001E5A17"/>
    <w:rsid w:val="001F284E"/>
    <w:rsid w:val="001F332E"/>
    <w:rsid w:val="001F4563"/>
    <w:rsid w:val="0020688A"/>
    <w:rsid w:val="00216E73"/>
    <w:rsid w:val="00217861"/>
    <w:rsid w:val="002204E4"/>
    <w:rsid w:val="002211BF"/>
    <w:rsid w:val="00233F15"/>
    <w:rsid w:val="00240E51"/>
    <w:rsid w:val="002420F1"/>
    <w:rsid w:val="00245CC1"/>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92F31"/>
    <w:rsid w:val="002953FC"/>
    <w:rsid w:val="002A4649"/>
    <w:rsid w:val="002A7227"/>
    <w:rsid w:val="002B0773"/>
    <w:rsid w:val="002B0C48"/>
    <w:rsid w:val="002B13CA"/>
    <w:rsid w:val="002B3650"/>
    <w:rsid w:val="002B5456"/>
    <w:rsid w:val="002B7322"/>
    <w:rsid w:val="002C58B6"/>
    <w:rsid w:val="002C6043"/>
    <w:rsid w:val="002D0E86"/>
    <w:rsid w:val="002D6899"/>
    <w:rsid w:val="002D6BFC"/>
    <w:rsid w:val="002D7C47"/>
    <w:rsid w:val="002E33CE"/>
    <w:rsid w:val="002E3721"/>
    <w:rsid w:val="002E6F95"/>
    <w:rsid w:val="002E764D"/>
    <w:rsid w:val="002F3157"/>
    <w:rsid w:val="002F6BD5"/>
    <w:rsid w:val="003025FD"/>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96F54"/>
    <w:rsid w:val="003A1680"/>
    <w:rsid w:val="003A373C"/>
    <w:rsid w:val="003A5874"/>
    <w:rsid w:val="003B1258"/>
    <w:rsid w:val="003B4A81"/>
    <w:rsid w:val="003B688C"/>
    <w:rsid w:val="003C1F8D"/>
    <w:rsid w:val="003C61A5"/>
    <w:rsid w:val="003D1968"/>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020C"/>
    <w:rsid w:val="0041267F"/>
    <w:rsid w:val="00417636"/>
    <w:rsid w:val="00422F1A"/>
    <w:rsid w:val="00424BA5"/>
    <w:rsid w:val="00425431"/>
    <w:rsid w:val="00431829"/>
    <w:rsid w:val="00437B60"/>
    <w:rsid w:val="004405E6"/>
    <w:rsid w:val="00443C84"/>
    <w:rsid w:val="00443C89"/>
    <w:rsid w:val="004540AA"/>
    <w:rsid w:val="00454107"/>
    <w:rsid w:val="00456BD8"/>
    <w:rsid w:val="00456DC8"/>
    <w:rsid w:val="0046549D"/>
    <w:rsid w:val="00471668"/>
    <w:rsid w:val="004743C8"/>
    <w:rsid w:val="00481F98"/>
    <w:rsid w:val="004852BF"/>
    <w:rsid w:val="00487A46"/>
    <w:rsid w:val="00493504"/>
    <w:rsid w:val="00494579"/>
    <w:rsid w:val="00497334"/>
    <w:rsid w:val="004A4645"/>
    <w:rsid w:val="004A6F3A"/>
    <w:rsid w:val="004B00F0"/>
    <w:rsid w:val="004B0121"/>
    <w:rsid w:val="004B29AC"/>
    <w:rsid w:val="004B408D"/>
    <w:rsid w:val="004B40E2"/>
    <w:rsid w:val="004B5EC0"/>
    <w:rsid w:val="004B6F68"/>
    <w:rsid w:val="004B73F7"/>
    <w:rsid w:val="004C7073"/>
    <w:rsid w:val="004D03FB"/>
    <w:rsid w:val="004D28C9"/>
    <w:rsid w:val="004D4FB3"/>
    <w:rsid w:val="004D6A9A"/>
    <w:rsid w:val="004D75A6"/>
    <w:rsid w:val="004E3456"/>
    <w:rsid w:val="004F1826"/>
    <w:rsid w:val="004F3DF0"/>
    <w:rsid w:val="00504DF9"/>
    <w:rsid w:val="005074E1"/>
    <w:rsid w:val="005126F1"/>
    <w:rsid w:val="00513F2F"/>
    <w:rsid w:val="0051612A"/>
    <w:rsid w:val="00517176"/>
    <w:rsid w:val="0052192E"/>
    <w:rsid w:val="00524300"/>
    <w:rsid w:val="00541F72"/>
    <w:rsid w:val="00542388"/>
    <w:rsid w:val="00544523"/>
    <w:rsid w:val="00545865"/>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902"/>
    <w:rsid w:val="005D391F"/>
    <w:rsid w:val="005D5B6F"/>
    <w:rsid w:val="005E38A5"/>
    <w:rsid w:val="005E61C3"/>
    <w:rsid w:val="005F5185"/>
    <w:rsid w:val="0062115C"/>
    <w:rsid w:val="0062265B"/>
    <w:rsid w:val="00624B5C"/>
    <w:rsid w:val="00624FE1"/>
    <w:rsid w:val="0062577D"/>
    <w:rsid w:val="00630BE7"/>
    <w:rsid w:val="0063249D"/>
    <w:rsid w:val="006331EE"/>
    <w:rsid w:val="00633B7A"/>
    <w:rsid w:val="006355E6"/>
    <w:rsid w:val="00637E00"/>
    <w:rsid w:val="0064038A"/>
    <w:rsid w:val="0065167D"/>
    <w:rsid w:val="00652D13"/>
    <w:rsid w:val="0066595A"/>
    <w:rsid w:val="00666206"/>
    <w:rsid w:val="00672788"/>
    <w:rsid w:val="00676183"/>
    <w:rsid w:val="0068060F"/>
    <w:rsid w:val="00680DA3"/>
    <w:rsid w:val="0068377F"/>
    <w:rsid w:val="00691B24"/>
    <w:rsid w:val="00695B93"/>
    <w:rsid w:val="00697C16"/>
    <w:rsid w:val="006A5A89"/>
    <w:rsid w:val="006B3BB9"/>
    <w:rsid w:val="006B48AC"/>
    <w:rsid w:val="006B51B3"/>
    <w:rsid w:val="006B5977"/>
    <w:rsid w:val="006D0AE9"/>
    <w:rsid w:val="006D1B59"/>
    <w:rsid w:val="006D2F9C"/>
    <w:rsid w:val="006D34C0"/>
    <w:rsid w:val="006D4351"/>
    <w:rsid w:val="006D5424"/>
    <w:rsid w:val="006E0395"/>
    <w:rsid w:val="006E5CA9"/>
    <w:rsid w:val="006E5E98"/>
    <w:rsid w:val="006E7A37"/>
    <w:rsid w:val="006F3151"/>
    <w:rsid w:val="007011CA"/>
    <w:rsid w:val="007056DE"/>
    <w:rsid w:val="00706121"/>
    <w:rsid w:val="00710B6B"/>
    <w:rsid w:val="00711655"/>
    <w:rsid w:val="00712A2C"/>
    <w:rsid w:val="00712E84"/>
    <w:rsid w:val="00714914"/>
    <w:rsid w:val="007208D6"/>
    <w:rsid w:val="007252BA"/>
    <w:rsid w:val="00726786"/>
    <w:rsid w:val="00732152"/>
    <w:rsid w:val="007428DF"/>
    <w:rsid w:val="00742BD1"/>
    <w:rsid w:val="00742E7A"/>
    <w:rsid w:val="0074424F"/>
    <w:rsid w:val="0075161F"/>
    <w:rsid w:val="00755DB7"/>
    <w:rsid w:val="00764FD9"/>
    <w:rsid w:val="007740B2"/>
    <w:rsid w:val="00774C1F"/>
    <w:rsid w:val="0078194F"/>
    <w:rsid w:val="007934A4"/>
    <w:rsid w:val="007A0AC9"/>
    <w:rsid w:val="007A1B70"/>
    <w:rsid w:val="007A57F6"/>
    <w:rsid w:val="007B4FFB"/>
    <w:rsid w:val="007C0BCE"/>
    <w:rsid w:val="007C1D1B"/>
    <w:rsid w:val="007C3566"/>
    <w:rsid w:val="007C4238"/>
    <w:rsid w:val="007C4D4D"/>
    <w:rsid w:val="007C794A"/>
    <w:rsid w:val="007D5326"/>
    <w:rsid w:val="007D5A33"/>
    <w:rsid w:val="007E145D"/>
    <w:rsid w:val="007E4F3A"/>
    <w:rsid w:val="007E4F5A"/>
    <w:rsid w:val="007E620F"/>
    <w:rsid w:val="007E663C"/>
    <w:rsid w:val="007E7795"/>
    <w:rsid w:val="0080066B"/>
    <w:rsid w:val="0080317C"/>
    <w:rsid w:val="00803578"/>
    <w:rsid w:val="00810588"/>
    <w:rsid w:val="00815B8D"/>
    <w:rsid w:val="00815B8E"/>
    <w:rsid w:val="00816D99"/>
    <w:rsid w:val="008200A3"/>
    <w:rsid w:val="00821902"/>
    <w:rsid w:val="00821948"/>
    <w:rsid w:val="0082324C"/>
    <w:rsid w:val="00823D71"/>
    <w:rsid w:val="008245AF"/>
    <w:rsid w:val="008256B9"/>
    <w:rsid w:val="0083705D"/>
    <w:rsid w:val="0084242F"/>
    <w:rsid w:val="00845795"/>
    <w:rsid w:val="00847437"/>
    <w:rsid w:val="00857EBE"/>
    <w:rsid w:val="00857FA5"/>
    <w:rsid w:val="00882E15"/>
    <w:rsid w:val="00883C73"/>
    <w:rsid w:val="008901A2"/>
    <w:rsid w:val="008A08B0"/>
    <w:rsid w:val="008B0385"/>
    <w:rsid w:val="008B1082"/>
    <w:rsid w:val="008B188E"/>
    <w:rsid w:val="008B397C"/>
    <w:rsid w:val="008B3D54"/>
    <w:rsid w:val="008B47F4"/>
    <w:rsid w:val="008B5DB7"/>
    <w:rsid w:val="008B7418"/>
    <w:rsid w:val="008B7448"/>
    <w:rsid w:val="008B773F"/>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25F8C"/>
    <w:rsid w:val="00927324"/>
    <w:rsid w:val="00932E8B"/>
    <w:rsid w:val="00932ED7"/>
    <w:rsid w:val="00933990"/>
    <w:rsid w:val="00933D9C"/>
    <w:rsid w:val="00934964"/>
    <w:rsid w:val="00941B89"/>
    <w:rsid w:val="00941DEA"/>
    <w:rsid w:val="009656CC"/>
    <w:rsid w:val="00967349"/>
    <w:rsid w:val="00970E8C"/>
    <w:rsid w:val="00971671"/>
    <w:rsid w:val="00977738"/>
    <w:rsid w:val="00981A37"/>
    <w:rsid w:val="009830B2"/>
    <w:rsid w:val="0099063E"/>
    <w:rsid w:val="00991E3F"/>
    <w:rsid w:val="00992356"/>
    <w:rsid w:val="00992674"/>
    <w:rsid w:val="00994793"/>
    <w:rsid w:val="00996AE3"/>
    <w:rsid w:val="009A0450"/>
    <w:rsid w:val="009A1446"/>
    <w:rsid w:val="009A1E27"/>
    <w:rsid w:val="009A307B"/>
    <w:rsid w:val="009B04E7"/>
    <w:rsid w:val="009B14E8"/>
    <w:rsid w:val="009B4D21"/>
    <w:rsid w:val="009B5A73"/>
    <w:rsid w:val="009B6206"/>
    <w:rsid w:val="009B7B34"/>
    <w:rsid w:val="009C54C9"/>
    <w:rsid w:val="009C589C"/>
    <w:rsid w:val="009C7FA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2791F"/>
    <w:rsid w:val="00A31BBE"/>
    <w:rsid w:val="00A31D34"/>
    <w:rsid w:val="00A333EF"/>
    <w:rsid w:val="00A33F85"/>
    <w:rsid w:val="00A40645"/>
    <w:rsid w:val="00A44FF0"/>
    <w:rsid w:val="00A6016C"/>
    <w:rsid w:val="00A678A5"/>
    <w:rsid w:val="00A769B1"/>
    <w:rsid w:val="00A77DA3"/>
    <w:rsid w:val="00A837D5"/>
    <w:rsid w:val="00A83E04"/>
    <w:rsid w:val="00A877B3"/>
    <w:rsid w:val="00A91091"/>
    <w:rsid w:val="00A93EE3"/>
    <w:rsid w:val="00A94BA9"/>
    <w:rsid w:val="00A9535A"/>
    <w:rsid w:val="00AA4970"/>
    <w:rsid w:val="00AA536D"/>
    <w:rsid w:val="00AB22C0"/>
    <w:rsid w:val="00AB28FC"/>
    <w:rsid w:val="00AB49E4"/>
    <w:rsid w:val="00AC1479"/>
    <w:rsid w:val="00AC2AAC"/>
    <w:rsid w:val="00AC2E31"/>
    <w:rsid w:val="00AC40F1"/>
    <w:rsid w:val="00AC4C45"/>
    <w:rsid w:val="00AD06F0"/>
    <w:rsid w:val="00AD1085"/>
    <w:rsid w:val="00AD3DB7"/>
    <w:rsid w:val="00AD5B40"/>
    <w:rsid w:val="00AD69FB"/>
    <w:rsid w:val="00AF289F"/>
    <w:rsid w:val="00AF30B9"/>
    <w:rsid w:val="00AF43DF"/>
    <w:rsid w:val="00AF67A4"/>
    <w:rsid w:val="00AF7510"/>
    <w:rsid w:val="00B063B5"/>
    <w:rsid w:val="00B12D31"/>
    <w:rsid w:val="00B15F6E"/>
    <w:rsid w:val="00B21BEE"/>
    <w:rsid w:val="00B23284"/>
    <w:rsid w:val="00B37D43"/>
    <w:rsid w:val="00B46F21"/>
    <w:rsid w:val="00B505F4"/>
    <w:rsid w:val="00B511A5"/>
    <w:rsid w:val="00B51CDE"/>
    <w:rsid w:val="00B56541"/>
    <w:rsid w:val="00B605ED"/>
    <w:rsid w:val="00B71F97"/>
    <w:rsid w:val="00B72538"/>
    <w:rsid w:val="00B736A7"/>
    <w:rsid w:val="00B7651F"/>
    <w:rsid w:val="00B919FA"/>
    <w:rsid w:val="00B94A16"/>
    <w:rsid w:val="00BA55AD"/>
    <w:rsid w:val="00BA6044"/>
    <w:rsid w:val="00BB13D9"/>
    <w:rsid w:val="00BB1A93"/>
    <w:rsid w:val="00BB58A2"/>
    <w:rsid w:val="00BC14BF"/>
    <w:rsid w:val="00BC2625"/>
    <w:rsid w:val="00BC3200"/>
    <w:rsid w:val="00BC338A"/>
    <w:rsid w:val="00BD12C4"/>
    <w:rsid w:val="00BD7AB0"/>
    <w:rsid w:val="00BE6F60"/>
    <w:rsid w:val="00BF3C20"/>
    <w:rsid w:val="00C011BC"/>
    <w:rsid w:val="00C02423"/>
    <w:rsid w:val="00C03D57"/>
    <w:rsid w:val="00C03DBA"/>
    <w:rsid w:val="00C10E47"/>
    <w:rsid w:val="00C112E7"/>
    <w:rsid w:val="00C11C78"/>
    <w:rsid w:val="00C11CD4"/>
    <w:rsid w:val="00C15061"/>
    <w:rsid w:val="00C1713D"/>
    <w:rsid w:val="00C20D9D"/>
    <w:rsid w:val="00C2134F"/>
    <w:rsid w:val="00C24718"/>
    <w:rsid w:val="00C2675D"/>
    <w:rsid w:val="00C30AEE"/>
    <w:rsid w:val="00C33362"/>
    <w:rsid w:val="00C353AE"/>
    <w:rsid w:val="00C4194E"/>
    <w:rsid w:val="00C4258D"/>
    <w:rsid w:val="00C516B1"/>
    <w:rsid w:val="00C5350C"/>
    <w:rsid w:val="00C56E09"/>
    <w:rsid w:val="00C61B1B"/>
    <w:rsid w:val="00C63656"/>
    <w:rsid w:val="00C66AB7"/>
    <w:rsid w:val="00C673D1"/>
    <w:rsid w:val="00C746CB"/>
    <w:rsid w:val="00C77BBF"/>
    <w:rsid w:val="00C77D64"/>
    <w:rsid w:val="00C81564"/>
    <w:rsid w:val="00C9080C"/>
    <w:rsid w:val="00C94429"/>
    <w:rsid w:val="00CA18FD"/>
    <w:rsid w:val="00CA27E5"/>
    <w:rsid w:val="00CA4897"/>
    <w:rsid w:val="00CA6928"/>
    <w:rsid w:val="00CB1552"/>
    <w:rsid w:val="00CB3D3F"/>
    <w:rsid w:val="00CB5A1A"/>
    <w:rsid w:val="00CC59E6"/>
    <w:rsid w:val="00CD1888"/>
    <w:rsid w:val="00CD5BDD"/>
    <w:rsid w:val="00CE0D56"/>
    <w:rsid w:val="00CF096B"/>
    <w:rsid w:val="00CF10F7"/>
    <w:rsid w:val="00CF5EE3"/>
    <w:rsid w:val="00CF691F"/>
    <w:rsid w:val="00D00D99"/>
    <w:rsid w:val="00D013A4"/>
    <w:rsid w:val="00D026DC"/>
    <w:rsid w:val="00D03E88"/>
    <w:rsid w:val="00D15595"/>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A254D"/>
    <w:rsid w:val="00DB2BE6"/>
    <w:rsid w:val="00DB76B3"/>
    <w:rsid w:val="00DC4D7A"/>
    <w:rsid w:val="00DD1052"/>
    <w:rsid w:val="00DD167C"/>
    <w:rsid w:val="00DD3C7B"/>
    <w:rsid w:val="00DD5966"/>
    <w:rsid w:val="00DE2B21"/>
    <w:rsid w:val="00DE48DE"/>
    <w:rsid w:val="00DF25F2"/>
    <w:rsid w:val="00DF3B32"/>
    <w:rsid w:val="00DF4166"/>
    <w:rsid w:val="00DF6484"/>
    <w:rsid w:val="00E000F4"/>
    <w:rsid w:val="00E01231"/>
    <w:rsid w:val="00E04279"/>
    <w:rsid w:val="00E06256"/>
    <w:rsid w:val="00E11393"/>
    <w:rsid w:val="00E125D9"/>
    <w:rsid w:val="00E16D30"/>
    <w:rsid w:val="00E20DE0"/>
    <w:rsid w:val="00E31E69"/>
    <w:rsid w:val="00E33169"/>
    <w:rsid w:val="00E34A7B"/>
    <w:rsid w:val="00E3751F"/>
    <w:rsid w:val="00E40973"/>
    <w:rsid w:val="00E545FF"/>
    <w:rsid w:val="00E556CB"/>
    <w:rsid w:val="00E6080E"/>
    <w:rsid w:val="00E64168"/>
    <w:rsid w:val="00E655B3"/>
    <w:rsid w:val="00E7081D"/>
    <w:rsid w:val="00E70904"/>
    <w:rsid w:val="00E71319"/>
    <w:rsid w:val="00E75171"/>
    <w:rsid w:val="00E804B0"/>
    <w:rsid w:val="00E86772"/>
    <w:rsid w:val="00E879D2"/>
    <w:rsid w:val="00E90B8B"/>
    <w:rsid w:val="00E93ADD"/>
    <w:rsid w:val="00E952D8"/>
    <w:rsid w:val="00EB00E4"/>
    <w:rsid w:val="00EB28DA"/>
    <w:rsid w:val="00EB3812"/>
    <w:rsid w:val="00EB44EB"/>
    <w:rsid w:val="00EB66B8"/>
    <w:rsid w:val="00EB791E"/>
    <w:rsid w:val="00EC1FEA"/>
    <w:rsid w:val="00EC70A9"/>
    <w:rsid w:val="00EC7770"/>
    <w:rsid w:val="00ED4C3A"/>
    <w:rsid w:val="00EE1C85"/>
    <w:rsid w:val="00EE54BF"/>
    <w:rsid w:val="00EE5FFC"/>
    <w:rsid w:val="00EF21D9"/>
    <w:rsid w:val="00EF2A94"/>
    <w:rsid w:val="00EF32FB"/>
    <w:rsid w:val="00EF44B1"/>
    <w:rsid w:val="00EF4865"/>
    <w:rsid w:val="00EF5954"/>
    <w:rsid w:val="00F100D2"/>
    <w:rsid w:val="00F12942"/>
    <w:rsid w:val="00F13C41"/>
    <w:rsid w:val="00F14496"/>
    <w:rsid w:val="00F146DC"/>
    <w:rsid w:val="00F14886"/>
    <w:rsid w:val="00F16421"/>
    <w:rsid w:val="00F201EE"/>
    <w:rsid w:val="00F35AA0"/>
    <w:rsid w:val="00F43C49"/>
    <w:rsid w:val="00F454B9"/>
    <w:rsid w:val="00F45C12"/>
    <w:rsid w:val="00F544A2"/>
    <w:rsid w:val="00F6105B"/>
    <w:rsid w:val="00F73D03"/>
    <w:rsid w:val="00F76B1F"/>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DAE6FB6"/>
    <w:rsid w:val="10BD2C22"/>
    <w:rsid w:val="1B5605A8"/>
    <w:rsid w:val="22987C80"/>
    <w:rsid w:val="24192CCC"/>
    <w:rsid w:val="247E6772"/>
    <w:rsid w:val="28C156CA"/>
    <w:rsid w:val="2D260C94"/>
    <w:rsid w:val="30847939"/>
    <w:rsid w:val="30B40617"/>
    <w:rsid w:val="32BD580E"/>
    <w:rsid w:val="39A66CD4"/>
    <w:rsid w:val="3CD52CE1"/>
    <w:rsid w:val="3D4C3459"/>
    <w:rsid w:val="3E63595A"/>
    <w:rsid w:val="410F2E6A"/>
    <w:rsid w:val="4430136C"/>
    <w:rsid w:val="44B30262"/>
    <w:rsid w:val="457E1080"/>
    <w:rsid w:val="4AB0382B"/>
    <w:rsid w:val="4B084B75"/>
    <w:rsid w:val="569868B5"/>
    <w:rsid w:val="5B92737E"/>
    <w:rsid w:val="5F370A10"/>
    <w:rsid w:val="611F6817"/>
    <w:rsid w:val="6155202D"/>
    <w:rsid w:val="627B3ABF"/>
    <w:rsid w:val="66CA1754"/>
    <w:rsid w:val="66EF44EE"/>
    <w:rsid w:val="67E10ABE"/>
    <w:rsid w:val="69951B60"/>
    <w:rsid w:val="6A6040D6"/>
    <w:rsid w:val="6F1E65D4"/>
    <w:rsid w:val="6F266C86"/>
    <w:rsid w:val="6F5042C2"/>
    <w:rsid w:val="706F7D9D"/>
    <w:rsid w:val="70B516ED"/>
    <w:rsid w:val="70CE4D54"/>
    <w:rsid w:val="74316312"/>
    <w:rsid w:val="780F13C8"/>
    <w:rsid w:val="7BC769A5"/>
    <w:rsid w:val="7C0B3F04"/>
    <w:rsid w:val="7C385448"/>
    <w:rsid w:val="7CB3663D"/>
    <w:rsid w:val="7CEE8772"/>
    <w:rsid w:val="7FF9A8E1"/>
    <w:rsid w:val="9E8DC298"/>
    <w:rsid w:val="B3E5A144"/>
    <w:rsid w:val="C76E4F72"/>
    <w:rsid w:val="E7BED68D"/>
    <w:rsid w:val="EEDF378F"/>
    <w:rsid w:val="F3FFEEB2"/>
    <w:rsid w:val="F6BEA9A5"/>
    <w:rsid w:val="FECF0D4E"/>
    <w:rsid w:val="FEE70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qFormat/>
    <w:uiPriority w:val="99"/>
    <w:pPr>
      <w:widowControl w:val="0"/>
    </w:pPr>
    <w:rPr>
      <w:rFonts w:ascii="Times New Roman" w:hAnsi="Times New Roman" w:cs="Times New Roman"/>
      <w:kern w:val="2"/>
      <w:sz w:val="21"/>
    </w:rPr>
  </w:style>
  <w:style w:type="paragraph" w:styleId="4">
    <w:name w:val="Body Text Indent"/>
    <w:basedOn w:val="1"/>
    <w:link w:val="26"/>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qFormat/>
    <w:uiPriority w:val="0"/>
    <w:rPr>
      <w:rFonts w:asciiTheme="minorHAnsi" w:hAnsiTheme="minorHAnsi" w:eastAsiaTheme="minorEastAsia" w:cstheme="minorBidi"/>
      <w:sz w:val="2"/>
      <w:szCs w:val="20"/>
    </w:rPr>
  </w:style>
  <w:style w:type="paragraph" w:styleId="6">
    <w:name w:val="footer"/>
    <w:basedOn w:val="1"/>
    <w:link w:val="15"/>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Emphasis"/>
    <w:qFormat/>
    <w:uiPriority w:val="0"/>
    <w:rPr>
      <w:color w:val="C60A00"/>
    </w:rPr>
  </w:style>
  <w:style w:type="character" w:customStyle="1" w:styleId="14">
    <w:name w:val="页眉 Char1"/>
    <w:basedOn w:val="11"/>
    <w:link w:val="7"/>
    <w:autoRedefine/>
    <w:semiHidden/>
    <w:qFormat/>
    <w:uiPriority w:val="99"/>
    <w:rPr>
      <w:sz w:val="18"/>
      <w:szCs w:val="18"/>
    </w:rPr>
  </w:style>
  <w:style w:type="character" w:customStyle="1" w:styleId="15">
    <w:name w:val="页脚 Char1"/>
    <w:basedOn w:val="11"/>
    <w:link w:val="6"/>
    <w:autoRedefine/>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autoRedefine/>
    <w:unhideWhenUsed/>
    <w:qFormat/>
    <w:uiPriority w:val="99"/>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1"/>
    <w:link w:val="2"/>
    <w:autoRedefine/>
    <w:qFormat/>
    <w:uiPriority w:val="9"/>
    <w:rPr>
      <w:rFonts w:ascii="Calibri" w:hAnsi="Calibri" w:eastAsia="宋体" w:cs="Times New Roman"/>
      <w:b/>
      <w:bCs/>
      <w:kern w:val="44"/>
      <w:sz w:val="44"/>
      <w:szCs w:val="44"/>
    </w:rPr>
  </w:style>
  <w:style w:type="character" w:customStyle="1" w:styleId="23">
    <w:name w:val="批注文字 Char"/>
    <w:basedOn w:val="11"/>
    <w:link w:val="3"/>
    <w:autoRedefine/>
    <w:qFormat/>
    <w:uiPriority w:val="99"/>
    <w:rPr>
      <w:rFonts w:ascii="Times New Roman" w:hAnsi="Times New Roman" w:eastAsia="宋体" w:cs="Times New Roman"/>
      <w:kern w:val="2"/>
      <w:sz w:val="21"/>
      <w:szCs w:val="24"/>
    </w:rPr>
  </w:style>
  <w:style w:type="character" w:customStyle="1" w:styleId="24">
    <w:name w:val="editor-text-node"/>
    <w:basedOn w:val="11"/>
    <w:autoRedefine/>
    <w:qFormat/>
    <w:uiPriority w:val="0"/>
  </w:style>
  <w:style w:type="character" w:styleId="25">
    <w:name w:val="Placeholder Text"/>
    <w:basedOn w:val="11"/>
    <w:unhideWhenUsed/>
    <w:qFormat/>
    <w:uiPriority w:val="99"/>
    <w:rPr>
      <w:color w:val="808080"/>
    </w:rPr>
  </w:style>
  <w:style w:type="character" w:customStyle="1" w:styleId="26">
    <w:name w:val="正文文本缩进 Char1"/>
    <w:link w:val="4"/>
    <w:autoRedefine/>
    <w:qFormat/>
    <w:locked/>
    <w:uiPriority w:val="0"/>
    <w:rPr>
      <w:rFonts w:ascii="Calibri" w:hAnsi="Calibri" w:eastAsia="宋体" w:cs="Times New Roman"/>
      <w:kern w:val="2"/>
      <w:sz w:val="21"/>
    </w:rPr>
  </w:style>
  <w:style w:type="character" w:customStyle="1" w:styleId="27">
    <w:name w:val="正文文本缩进 字符"/>
    <w:basedOn w:val="11"/>
    <w:autoRedefine/>
    <w:semiHidden/>
    <w:qFormat/>
    <w:uiPriority w:val="0"/>
    <w:rPr>
      <w:rFonts w:ascii="宋体" w:hAnsi="宋体" w:eastAsia="宋体" w:cs="宋体"/>
      <w:sz w:val="24"/>
      <w:szCs w:val="24"/>
    </w:rPr>
  </w:style>
  <w:style w:type="character" w:customStyle="1" w:styleId="28">
    <w:name w:val="页眉 Char"/>
    <w:autoRedefine/>
    <w:qFormat/>
    <w:locked/>
    <w:uiPriority w:val="0"/>
    <w:rPr>
      <w:sz w:val="18"/>
    </w:rPr>
  </w:style>
  <w:style w:type="character" w:customStyle="1" w:styleId="29">
    <w:name w:val="页脚 Char"/>
    <w:qFormat/>
    <w:locked/>
    <w:uiPriority w:val="0"/>
    <w:rPr>
      <w:sz w:val="18"/>
    </w:rPr>
  </w:style>
  <w:style w:type="character" w:customStyle="1" w:styleId="30">
    <w:name w:val="正文文本缩进 Char"/>
    <w:autoRedefine/>
    <w:qFormat/>
    <w:locked/>
    <w:uiPriority w:val="0"/>
    <w:rPr>
      <w:kern w:val="2"/>
      <w:sz w:val="21"/>
    </w:rPr>
  </w:style>
  <w:style w:type="character" w:customStyle="1" w:styleId="31">
    <w:name w:val="批注框文本 Char"/>
    <w:link w:val="5"/>
    <w:autoRedefine/>
    <w:semiHidden/>
    <w:qFormat/>
    <w:locked/>
    <w:uiPriority w:val="0"/>
    <w:rPr>
      <w:sz w:val="2"/>
    </w:rPr>
  </w:style>
  <w:style w:type="paragraph" w:customStyle="1" w:styleId="32">
    <w:name w:val="样式1"/>
    <w:basedOn w:val="1"/>
    <w:qFormat/>
    <w:uiPriority w:val="0"/>
    <w:rPr>
      <w:rFonts w:ascii="Times New Roman" w:hAnsi="Times New Roman" w:cs="Times New Roman"/>
      <w:sz w:val="20"/>
      <w:szCs w:val="20"/>
    </w:rPr>
  </w:style>
  <w:style w:type="character" w:customStyle="1" w:styleId="33">
    <w:name w:val="批注框文本 字符"/>
    <w:basedOn w:val="11"/>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1725</Words>
  <Characters>1833</Characters>
  <Lines>51</Lines>
  <Paragraphs>14</Paragraphs>
  <TotalTime>1</TotalTime>
  <ScaleCrop>false</ScaleCrop>
  <LinksUpToDate>false</LinksUpToDate>
  <CharactersWithSpaces>1840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2024-02-07T17:44:00Z</dcterms:created>
  <dc:creator>juvg</dc:creator>
  <cp:lastModifiedBy>大小满妈妈</cp:lastModifiedBy>
  <cp:lastPrinted>2025-01-15T06:03:00Z</cp:lastPrinted>
  <dcterms:modified xsi:type="dcterms:W3CDTF">2026-03-09T07:45:03Z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8B9EA5BE537D41D5B4E0F620C15C4672_13</vt:lpwstr>
  </property>
  <property fmtid="{D5CDD505-2E9C-101B-9397-08002B2CF9AE}" pid="4" name="KSOTemplateDocerSaveRecord">
    <vt:lpwstr>eyJoZGlkIjoiOGI2ODlkNDFlNDk3NjQ0Y2Y2NjE1OGJiYmRlOWZlYzMiLCJ1c2VySWQiOiI4MjcwNzUyNjgifQ==</vt:lpwstr>
  </property>
</Properties>
</file>